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B0FD7" w14:textId="77777777" w:rsidR="0051181D" w:rsidRDefault="0051181D" w:rsidP="008860AE">
      <w:pPr>
        <w:pStyle w:val="TableText"/>
      </w:pPr>
    </w:p>
    <w:p w14:paraId="6A3B7821" w14:textId="1E5A144D" w:rsidR="0051181D" w:rsidRPr="00192AD1" w:rsidRDefault="00F057B9" w:rsidP="008860AE">
      <w:pPr>
        <w:widowControl w:val="0"/>
        <w:jc w:val="both"/>
        <w:rPr>
          <w:i/>
        </w:rPr>
      </w:pPr>
      <w:r w:rsidRPr="00695023">
        <w:rPr>
          <w:i/>
          <w:highlight w:val="yellow"/>
        </w:rPr>
        <w:t xml:space="preserve">NOTE 1: </w:t>
      </w:r>
      <w:r w:rsidR="00695023" w:rsidRPr="00695023">
        <w:rPr>
          <w:i/>
          <w:highlight w:val="yellow"/>
        </w:rPr>
        <w:t xml:space="preserve">Modify header, document control information and change history </w:t>
      </w:r>
      <w:r w:rsidRPr="00695023">
        <w:rPr>
          <w:i/>
          <w:highlight w:val="yellow"/>
        </w:rPr>
        <w:t xml:space="preserve">to </w:t>
      </w:r>
      <w:r w:rsidR="00695023" w:rsidRPr="00695023">
        <w:rPr>
          <w:i/>
          <w:highlight w:val="yellow"/>
        </w:rPr>
        <w:t>match those appropriate for the collection / RTB / building / institute this SOP applies to. Include</w:t>
      </w:r>
      <w:r w:rsidRPr="00695023">
        <w:rPr>
          <w:i/>
          <w:highlight w:val="yellow"/>
        </w:rPr>
        <w:t xml:space="preserve"> the appropriate SOP number and version number.</w:t>
      </w:r>
    </w:p>
    <w:p w14:paraId="58168830" w14:textId="77777777" w:rsidR="007E6DA4" w:rsidRDefault="007E6DA4" w:rsidP="008860AE">
      <w:pPr>
        <w:widowControl w:val="0"/>
        <w:jc w:val="center"/>
        <w:rPr>
          <w:b/>
        </w:rPr>
      </w:pPr>
    </w:p>
    <w:p w14:paraId="713BDD93" w14:textId="77777777" w:rsidR="0051181D" w:rsidRDefault="0051181D" w:rsidP="008860AE">
      <w:pPr>
        <w:pStyle w:val="Footer"/>
        <w:widowControl w:val="0"/>
        <w:tabs>
          <w:tab w:val="clear" w:pos="4153"/>
          <w:tab w:val="clear" w:pos="8306"/>
        </w:tabs>
      </w:pPr>
    </w:p>
    <w:tbl>
      <w:tblPr>
        <w:tblW w:w="9923" w:type="dxa"/>
        <w:tblInd w:w="-34" w:type="dxa"/>
        <w:tblLayout w:type="fixed"/>
        <w:tblLook w:val="0000" w:firstRow="0" w:lastRow="0" w:firstColumn="0" w:lastColumn="0" w:noHBand="0" w:noVBand="0"/>
      </w:tblPr>
      <w:tblGrid>
        <w:gridCol w:w="1702"/>
        <w:gridCol w:w="1417"/>
        <w:gridCol w:w="2835"/>
        <w:gridCol w:w="2410"/>
        <w:gridCol w:w="1559"/>
      </w:tblGrid>
      <w:tr w:rsidR="0051181D" w14:paraId="3C5AE88F" w14:textId="77777777" w:rsidTr="00C95AA5">
        <w:trPr>
          <w:cantSplit/>
          <w:trHeight w:hRule="exact" w:val="851"/>
        </w:trPr>
        <w:tc>
          <w:tcPr>
            <w:tcW w:w="1702" w:type="dxa"/>
          </w:tcPr>
          <w:p w14:paraId="08CBB35C" w14:textId="77777777" w:rsidR="0051181D" w:rsidRPr="00CE6E83" w:rsidRDefault="0051181D" w:rsidP="008860AE">
            <w:pPr>
              <w:pStyle w:val="TableText"/>
            </w:pPr>
            <w:r w:rsidRPr="00CE6E83">
              <w:t>SOP Title</w:t>
            </w:r>
          </w:p>
        </w:tc>
        <w:tc>
          <w:tcPr>
            <w:tcW w:w="8221" w:type="dxa"/>
            <w:gridSpan w:val="4"/>
          </w:tcPr>
          <w:p w14:paraId="09AC919D" w14:textId="53F504F8" w:rsidR="0051181D" w:rsidRPr="00192AD1" w:rsidRDefault="00F057B9" w:rsidP="000113F5">
            <w:pPr>
              <w:rPr>
                <w:b/>
                <w:bCs/>
                <w:sz w:val="28"/>
                <w:szCs w:val="28"/>
              </w:rPr>
            </w:pPr>
            <w:r w:rsidRPr="000E745F">
              <w:rPr>
                <w:b/>
                <w:bCs/>
                <w:sz w:val="28"/>
                <w:szCs w:val="28"/>
                <w:shd w:val="clear" w:color="auto" w:fill="FFFF00"/>
              </w:rPr>
              <w:t>Template SOP:</w:t>
            </w:r>
            <w:r>
              <w:rPr>
                <w:b/>
                <w:bCs/>
                <w:sz w:val="28"/>
                <w:szCs w:val="28"/>
              </w:rPr>
              <w:t xml:space="preserve"> </w:t>
            </w:r>
            <w:r w:rsidR="000113F5">
              <w:rPr>
                <w:b/>
                <w:bCs/>
                <w:sz w:val="28"/>
                <w:szCs w:val="28"/>
              </w:rPr>
              <w:t xml:space="preserve">Data </w:t>
            </w:r>
            <w:r w:rsidR="00ED047B">
              <w:rPr>
                <w:b/>
                <w:bCs/>
                <w:sz w:val="28"/>
                <w:szCs w:val="28"/>
              </w:rPr>
              <w:t>contingency pla</w:t>
            </w:r>
            <w:bookmarkStart w:id="0" w:name="_GoBack"/>
            <w:bookmarkEnd w:id="0"/>
            <w:r w:rsidR="00ED047B">
              <w:rPr>
                <w:b/>
                <w:bCs/>
                <w:sz w:val="28"/>
                <w:szCs w:val="28"/>
              </w:rPr>
              <w:t>n</w:t>
            </w:r>
          </w:p>
        </w:tc>
      </w:tr>
      <w:tr w:rsidR="0051181D" w14:paraId="52FF9633" w14:textId="77777777" w:rsidTr="00C95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single" w:sz="4" w:space="0" w:color="auto"/>
              <w:right w:val="single" w:sz="4" w:space="0" w:color="auto"/>
            </w:tcBorders>
          </w:tcPr>
          <w:p w14:paraId="06989C74" w14:textId="77777777" w:rsidR="0051181D" w:rsidRDefault="0051181D" w:rsidP="008860AE">
            <w:pPr>
              <w:pStyle w:val="TableText"/>
            </w:pPr>
          </w:p>
        </w:tc>
        <w:tc>
          <w:tcPr>
            <w:tcW w:w="1417" w:type="dxa"/>
            <w:tcBorders>
              <w:left w:val="nil"/>
            </w:tcBorders>
          </w:tcPr>
          <w:p w14:paraId="27B6D433" w14:textId="77777777" w:rsidR="0051181D" w:rsidRDefault="0051181D" w:rsidP="008860AE">
            <w:pPr>
              <w:pStyle w:val="TableText"/>
              <w:jc w:val="center"/>
            </w:pPr>
            <w:r>
              <w:t>NAME</w:t>
            </w:r>
          </w:p>
        </w:tc>
        <w:tc>
          <w:tcPr>
            <w:tcW w:w="2835" w:type="dxa"/>
            <w:tcBorders>
              <w:left w:val="nil"/>
              <w:right w:val="single" w:sz="4" w:space="0" w:color="auto"/>
            </w:tcBorders>
          </w:tcPr>
          <w:p w14:paraId="2BF77C00" w14:textId="77777777" w:rsidR="0051181D" w:rsidRDefault="0051181D" w:rsidP="008860AE">
            <w:pPr>
              <w:pStyle w:val="TableText"/>
              <w:jc w:val="center"/>
            </w:pPr>
            <w:r>
              <w:t>TITLE</w:t>
            </w:r>
          </w:p>
        </w:tc>
        <w:tc>
          <w:tcPr>
            <w:tcW w:w="2410" w:type="dxa"/>
            <w:tcBorders>
              <w:left w:val="single" w:sz="4" w:space="0" w:color="auto"/>
            </w:tcBorders>
          </w:tcPr>
          <w:p w14:paraId="505CCCD0" w14:textId="77777777" w:rsidR="0051181D" w:rsidRDefault="0051181D" w:rsidP="008860AE">
            <w:pPr>
              <w:pStyle w:val="TableText"/>
              <w:jc w:val="center"/>
            </w:pPr>
            <w:r>
              <w:t>SIGNATURE</w:t>
            </w:r>
          </w:p>
        </w:tc>
        <w:tc>
          <w:tcPr>
            <w:tcW w:w="1559" w:type="dxa"/>
          </w:tcPr>
          <w:p w14:paraId="132A25FA" w14:textId="77777777" w:rsidR="0051181D" w:rsidRDefault="0051181D" w:rsidP="008860AE">
            <w:pPr>
              <w:pStyle w:val="TableText"/>
              <w:jc w:val="center"/>
            </w:pPr>
            <w:r>
              <w:t>DATE</w:t>
            </w:r>
          </w:p>
        </w:tc>
      </w:tr>
      <w:tr w:rsidR="0051181D" w14:paraId="01EFE82B" w14:textId="77777777" w:rsidTr="000E74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702" w:type="dxa"/>
            <w:tcBorders>
              <w:top w:val="single" w:sz="4" w:space="0" w:color="auto"/>
              <w:left w:val="single" w:sz="4" w:space="0" w:color="auto"/>
              <w:bottom w:val="single" w:sz="4" w:space="0" w:color="auto"/>
            </w:tcBorders>
          </w:tcPr>
          <w:p w14:paraId="32320D14" w14:textId="77777777" w:rsidR="0051181D" w:rsidRDefault="0051181D" w:rsidP="008860AE">
            <w:pPr>
              <w:pStyle w:val="TableText"/>
            </w:pPr>
            <w:r>
              <w:t>Author</w:t>
            </w:r>
          </w:p>
        </w:tc>
        <w:tc>
          <w:tcPr>
            <w:tcW w:w="1417" w:type="dxa"/>
            <w:shd w:val="clear" w:color="auto" w:fill="FFFF00"/>
          </w:tcPr>
          <w:p w14:paraId="452C76FB" w14:textId="37DF3931" w:rsidR="0051181D" w:rsidRDefault="0051181D" w:rsidP="008860AE">
            <w:pPr>
              <w:pStyle w:val="TableText"/>
            </w:pPr>
          </w:p>
        </w:tc>
        <w:tc>
          <w:tcPr>
            <w:tcW w:w="2835" w:type="dxa"/>
            <w:shd w:val="clear" w:color="auto" w:fill="FFFF00"/>
          </w:tcPr>
          <w:p w14:paraId="55DD564C" w14:textId="221FDE81" w:rsidR="0051181D" w:rsidRDefault="0051181D" w:rsidP="008860AE">
            <w:pPr>
              <w:pStyle w:val="TableText"/>
            </w:pPr>
          </w:p>
        </w:tc>
        <w:tc>
          <w:tcPr>
            <w:tcW w:w="2410" w:type="dxa"/>
            <w:shd w:val="clear" w:color="auto" w:fill="FFFF00"/>
          </w:tcPr>
          <w:p w14:paraId="274476A8" w14:textId="357970AC" w:rsidR="0051181D" w:rsidRDefault="0051181D" w:rsidP="008860AE">
            <w:pPr>
              <w:pStyle w:val="TableText"/>
            </w:pPr>
          </w:p>
        </w:tc>
        <w:tc>
          <w:tcPr>
            <w:tcW w:w="1559" w:type="dxa"/>
            <w:shd w:val="clear" w:color="auto" w:fill="FFFF00"/>
          </w:tcPr>
          <w:p w14:paraId="0888C4BB" w14:textId="3BA7BB27" w:rsidR="0051181D" w:rsidRDefault="0051181D" w:rsidP="008860AE">
            <w:pPr>
              <w:pStyle w:val="TableText"/>
            </w:pPr>
          </w:p>
        </w:tc>
      </w:tr>
      <w:tr w:rsidR="0051181D" w14:paraId="1D8B2AF0" w14:textId="77777777" w:rsidTr="000E74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702" w:type="dxa"/>
            <w:tcBorders>
              <w:top w:val="single" w:sz="4" w:space="0" w:color="auto"/>
              <w:left w:val="single" w:sz="4" w:space="0" w:color="auto"/>
              <w:bottom w:val="single" w:sz="4" w:space="0" w:color="auto"/>
            </w:tcBorders>
          </w:tcPr>
          <w:p w14:paraId="6BAA6FDE" w14:textId="77777777" w:rsidR="0051181D" w:rsidRDefault="0051181D" w:rsidP="008860AE">
            <w:pPr>
              <w:pStyle w:val="TableText"/>
            </w:pPr>
            <w:r>
              <w:t>Reviewer</w:t>
            </w:r>
          </w:p>
        </w:tc>
        <w:tc>
          <w:tcPr>
            <w:tcW w:w="1417" w:type="dxa"/>
            <w:shd w:val="clear" w:color="auto" w:fill="FFFF00"/>
          </w:tcPr>
          <w:p w14:paraId="049284FA" w14:textId="335AA7AC" w:rsidR="0051181D" w:rsidRDefault="0051181D" w:rsidP="007E4549">
            <w:pPr>
              <w:pStyle w:val="TableText"/>
            </w:pPr>
          </w:p>
        </w:tc>
        <w:tc>
          <w:tcPr>
            <w:tcW w:w="2835" w:type="dxa"/>
            <w:shd w:val="clear" w:color="auto" w:fill="FFFF00"/>
          </w:tcPr>
          <w:p w14:paraId="04040F77" w14:textId="09A1E020" w:rsidR="0051181D" w:rsidRDefault="0051181D" w:rsidP="008860AE">
            <w:pPr>
              <w:pStyle w:val="TableText"/>
            </w:pPr>
          </w:p>
        </w:tc>
        <w:tc>
          <w:tcPr>
            <w:tcW w:w="2410" w:type="dxa"/>
            <w:shd w:val="clear" w:color="auto" w:fill="FFFF00"/>
          </w:tcPr>
          <w:p w14:paraId="2AD1F4E4" w14:textId="106D3746" w:rsidR="0051181D" w:rsidRDefault="0051181D" w:rsidP="008860AE">
            <w:pPr>
              <w:pStyle w:val="TableText"/>
            </w:pPr>
          </w:p>
        </w:tc>
        <w:tc>
          <w:tcPr>
            <w:tcW w:w="1559" w:type="dxa"/>
            <w:shd w:val="clear" w:color="auto" w:fill="FFFF00"/>
          </w:tcPr>
          <w:p w14:paraId="53AC8C32" w14:textId="48EE2CCE" w:rsidR="0051181D" w:rsidRDefault="0051181D" w:rsidP="008860AE">
            <w:pPr>
              <w:pStyle w:val="TableText"/>
            </w:pPr>
          </w:p>
        </w:tc>
      </w:tr>
      <w:tr w:rsidR="0051181D" w14:paraId="3AA8838C" w14:textId="77777777" w:rsidTr="000E74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702" w:type="dxa"/>
            <w:tcBorders>
              <w:top w:val="single" w:sz="4" w:space="0" w:color="auto"/>
              <w:left w:val="single" w:sz="4" w:space="0" w:color="auto"/>
              <w:bottom w:val="single" w:sz="4" w:space="0" w:color="auto"/>
              <w:right w:val="single" w:sz="4" w:space="0" w:color="auto"/>
            </w:tcBorders>
          </w:tcPr>
          <w:p w14:paraId="7EFB0BAE" w14:textId="77777777" w:rsidR="0051181D" w:rsidRDefault="0051181D" w:rsidP="008860AE">
            <w:pPr>
              <w:pStyle w:val="TableText"/>
            </w:pPr>
            <w:r>
              <w:t>Authoriser</w:t>
            </w:r>
          </w:p>
        </w:tc>
        <w:tc>
          <w:tcPr>
            <w:tcW w:w="1417" w:type="dxa"/>
            <w:tcBorders>
              <w:left w:val="nil"/>
            </w:tcBorders>
            <w:shd w:val="clear" w:color="auto" w:fill="FFFF00"/>
          </w:tcPr>
          <w:p w14:paraId="7FFC11E3" w14:textId="3C8C3FB8" w:rsidR="0051181D" w:rsidRDefault="0051181D" w:rsidP="008860AE">
            <w:pPr>
              <w:pStyle w:val="TableText"/>
            </w:pPr>
          </w:p>
        </w:tc>
        <w:tc>
          <w:tcPr>
            <w:tcW w:w="2835" w:type="dxa"/>
            <w:tcBorders>
              <w:left w:val="nil"/>
              <w:right w:val="single" w:sz="4" w:space="0" w:color="auto"/>
            </w:tcBorders>
            <w:shd w:val="clear" w:color="auto" w:fill="FFFF00"/>
          </w:tcPr>
          <w:p w14:paraId="04471F17" w14:textId="2BF6F7C6" w:rsidR="0051181D" w:rsidRDefault="0051181D" w:rsidP="008860AE">
            <w:pPr>
              <w:pStyle w:val="TableText"/>
            </w:pPr>
          </w:p>
        </w:tc>
        <w:tc>
          <w:tcPr>
            <w:tcW w:w="2410" w:type="dxa"/>
            <w:tcBorders>
              <w:left w:val="single" w:sz="4" w:space="0" w:color="auto"/>
            </w:tcBorders>
            <w:shd w:val="clear" w:color="auto" w:fill="FFFF00"/>
          </w:tcPr>
          <w:p w14:paraId="37805EF1" w14:textId="77777777" w:rsidR="0051181D" w:rsidRDefault="0051181D" w:rsidP="008860AE">
            <w:pPr>
              <w:pStyle w:val="TableText"/>
            </w:pPr>
          </w:p>
        </w:tc>
        <w:tc>
          <w:tcPr>
            <w:tcW w:w="1559" w:type="dxa"/>
            <w:shd w:val="clear" w:color="auto" w:fill="FFFF00"/>
          </w:tcPr>
          <w:p w14:paraId="52C7161F" w14:textId="77777777" w:rsidR="0051181D" w:rsidRDefault="0051181D" w:rsidP="008860AE">
            <w:pPr>
              <w:pStyle w:val="TableText"/>
            </w:pPr>
          </w:p>
        </w:tc>
      </w:tr>
    </w:tbl>
    <w:p w14:paraId="6DCB54FE" w14:textId="77777777" w:rsidR="0051181D" w:rsidRDefault="0051181D" w:rsidP="008860AE">
      <w:pPr>
        <w:pStyle w:val="TableText"/>
      </w:pPr>
    </w:p>
    <w:p w14:paraId="2C888AE3" w14:textId="77777777" w:rsidR="0051181D" w:rsidRDefault="0051181D" w:rsidP="008860AE">
      <w:pPr>
        <w:pStyle w:val="TableText"/>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2410"/>
        <w:gridCol w:w="1559"/>
      </w:tblGrid>
      <w:tr w:rsidR="0051181D" w14:paraId="2E3DDBF4" w14:textId="77777777" w:rsidTr="000E745F">
        <w:trPr>
          <w:cantSplit/>
          <w:trHeight w:val="397"/>
        </w:trPr>
        <w:tc>
          <w:tcPr>
            <w:tcW w:w="5954" w:type="dxa"/>
            <w:tcBorders>
              <w:top w:val="nil"/>
              <w:left w:val="nil"/>
              <w:bottom w:val="nil"/>
              <w:right w:val="single" w:sz="4" w:space="0" w:color="auto"/>
            </w:tcBorders>
            <w:vAlign w:val="center"/>
          </w:tcPr>
          <w:p w14:paraId="1D42654C" w14:textId="77777777" w:rsidR="0051181D" w:rsidRDefault="0051181D" w:rsidP="008860AE">
            <w:pPr>
              <w:pStyle w:val="TableText"/>
            </w:pPr>
          </w:p>
        </w:tc>
        <w:tc>
          <w:tcPr>
            <w:tcW w:w="2410" w:type="dxa"/>
            <w:tcBorders>
              <w:top w:val="single" w:sz="4" w:space="0" w:color="auto"/>
              <w:left w:val="nil"/>
              <w:bottom w:val="single" w:sz="4" w:space="0" w:color="auto"/>
              <w:right w:val="single" w:sz="4" w:space="0" w:color="auto"/>
            </w:tcBorders>
            <w:vAlign w:val="center"/>
          </w:tcPr>
          <w:p w14:paraId="1734D74C" w14:textId="77777777" w:rsidR="0051181D" w:rsidRDefault="0051181D" w:rsidP="008860AE">
            <w:pPr>
              <w:pStyle w:val="TableText"/>
            </w:pPr>
            <w:r>
              <w:t xml:space="preserve">Review Date: </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61344B69" w14:textId="77777777" w:rsidR="0051181D" w:rsidRDefault="0051181D" w:rsidP="008860AE">
            <w:pPr>
              <w:pStyle w:val="TableText"/>
            </w:pPr>
          </w:p>
        </w:tc>
      </w:tr>
    </w:tbl>
    <w:p w14:paraId="162BED32" w14:textId="77777777" w:rsidR="0051181D" w:rsidRDefault="0051181D" w:rsidP="008860AE">
      <w:pPr>
        <w:pStyle w:val="TableText"/>
      </w:pPr>
    </w:p>
    <w:p w14:paraId="65CB6AE1" w14:textId="77777777" w:rsidR="00F31E32" w:rsidRPr="001379C0" w:rsidRDefault="00F31E32" w:rsidP="00F31E32">
      <w:pPr>
        <w:pStyle w:val="Heading1"/>
        <w:numPr>
          <w:ilvl w:val="0"/>
          <w:numId w:val="0"/>
        </w:numPr>
        <w:ind w:left="720" w:hanging="720"/>
        <w:rPr>
          <w:rFonts w:cs="Arial"/>
        </w:rPr>
      </w:pPr>
      <w:bookmarkStart w:id="1" w:name="_Toc497142410"/>
      <w:bookmarkStart w:id="2" w:name="_Toc497207944"/>
      <w:bookmarkStart w:id="3" w:name="_Toc497230463"/>
      <w:r w:rsidRPr="001379C0">
        <w:rPr>
          <w:rFonts w:cs="Arial"/>
        </w:rPr>
        <w:t>Change History</w:t>
      </w:r>
      <w:bookmarkEnd w:id="1"/>
      <w:bookmarkEnd w:id="2"/>
      <w:bookmarkEnd w:id="3"/>
    </w:p>
    <w:tbl>
      <w:tblPr>
        <w:tblW w:w="9188"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9"/>
        <w:gridCol w:w="1276"/>
        <w:gridCol w:w="4252"/>
        <w:gridCol w:w="1701"/>
      </w:tblGrid>
      <w:tr w:rsidR="00F31E32" w:rsidRPr="00641FDA" w14:paraId="318E8B3A" w14:textId="77777777" w:rsidTr="00192AD1">
        <w:trPr>
          <w:cantSplit/>
          <w:trHeight w:val="393"/>
          <w:tblHeader/>
        </w:trPr>
        <w:tc>
          <w:tcPr>
            <w:tcW w:w="1959" w:type="dxa"/>
            <w:tcBorders>
              <w:top w:val="single" w:sz="6" w:space="0" w:color="000000"/>
              <w:left w:val="single" w:sz="6" w:space="0" w:color="000000"/>
              <w:bottom w:val="single" w:sz="4" w:space="0" w:color="auto"/>
              <w:right w:val="single" w:sz="6" w:space="0" w:color="000000"/>
            </w:tcBorders>
            <w:vAlign w:val="center"/>
          </w:tcPr>
          <w:p w14:paraId="47D03811" w14:textId="77777777" w:rsidR="00F31E32" w:rsidRPr="001379C0" w:rsidRDefault="00F31E32" w:rsidP="00305A90">
            <w:pPr>
              <w:pStyle w:val="TableText"/>
              <w:jc w:val="center"/>
              <w:rPr>
                <w:rFonts w:cs="Arial"/>
              </w:rPr>
            </w:pPr>
            <w:r w:rsidRPr="001379C0">
              <w:rPr>
                <w:rFonts w:cs="Arial"/>
              </w:rPr>
              <w:t>SOP no.</w:t>
            </w:r>
          </w:p>
        </w:tc>
        <w:tc>
          <w:tcPr>
            <w:tcW w:w="1276" w:type="dxa"/>
            <w:tcBorders>
              <w:top w:val="single" w:sz="6" w:space="0" w:color="000000"/>
              <w:left w:val="single" w:sz="6" w:space="0" w:color="000000"/>
              <w:bottom w:val="single" w:sz="4" w:space="0" w:color="auto"/>
              <w:right w:val="single" w:sz="6" w:space="0" w:color="000000"/>
            </w:tcBorders>
            <w:vAlign w:val="center"/>
          </w:tcPr>
          <w:p w14:paraId="1A03C775" w14:textId="77777777" w:rsidR="00F31E32" w:rsidRPr="001379C0" w:rsidRDefault="00F31E32" w:rsidP="00305A90">
            <w:pPr>
              <w:pStyle w:val="TableText"/>
              <w:jc w:val="center"/>
              <w:rPr>
                <w:rFonts w:cs="Arial"/>
              </w:rPr>
            </w:pPr>
            <w:r w:rsidRPr="001379C0">
              <w:rPr>
                <w:rFonts w:cs="Arial"/>
              </w:rPr>
              <w:t>Effective</w:t>
            </w:r>
            <w:r w:rsidRPr="001379C0">
              <w:rPr>
                <w:rFonts w:cs="Arial"/>
              </w:rPr>
              <w:br/>
              <w:t>Date</w:t>
            </w:r>
          </w:p>
        </w:tc>
        <w:tc>
          <w:tcPr>
            <w:tcW w:w="4252" w:type="dxa"/>
            <w:tcBorders>
              <w:top w:val="single" w:sz="6" w:space="0" w:color="000000"/>
              <w:left w:val="single" w:sz="4" w:space="0" w:color="auto"/>
              <w:bottom w:val="single" w:sz="4" w:space="0" w:color="auto"/>
              <w:right w:val="single" w:sz="6" w:space="0" w:color="000000"/>
            </w:tcBorders>
            <w:vAlign w:val="center"/>
          </w:tcPr>
          <w:p w14:paraId="1E07A0D5" w14:textId="77777777" w:rsidR="00F31E32" w:rsidRPr="001379C0" w:rsidRDefault="00F31E32" w:rsidP="00305A90">
            <w:pPr>
              <w:pStyle w:val="TableText"/>
              <w:jc w:val="center"/>
              <w:rPr>
                <w:rFonts w:cs="Arial"/>
              </w:rPr>
            </w:pPr>
            <w:r w:rsidRPr="001379C0">
              <w:rPr>
                <w:rFonts w:cs="Arial"/>
              </w:rPr>
              <w:t>Significant Changes</w:t>
            </w:r>
          </w:p>
        </w:tc>
        <w:tc>
          <w:tcPr>
            <w:tcW w:w="1701" w:type="dxa"/>
            <w:tcBorders>
              <w:top w:val="single" w:sz="6" w:space="0" w:color="000000"/>
              <w:left w:val="single" w:sz="4" w:space="0" w:color="auto"/>
              <w:bottom w:val="single" w:sz="4" w:space="0" w:color="auto"/>
              <w:right w:val="single" w:sz="6" w:space="0" w:color="000000"/>
            </w:tcBorders>
            <w:vAlign w:val="center"/>
          </w:tcPr>
          <w:p w14:paraId="25B1D03D" w14:textId="77777777" w:rsidR="00F31E32" w:rsidRPr="00641FDA" w:rsidRDefault="00F31E32" w:rsidP="00305A90">
            <w:pPr>
              <w:pStyle w:val="TableText"/>
              <w:jc w:val="center"/>
              <w:rPr>
                <w:rFonts w:cs="Arial"/>
              </w:rPr>
            </w:pPr>
            <w:r w:rsidRPr="001379C0">
              <w:rPr>
                <w:rFonts w:cs="Arial"/>
              </w:rPr>
              <w:t>Previous</w:t>
            </w:r>
            <w:r w:rsidRPr="001379C0">
              <w:rPr>
                <w:rFonts w:cs="Arial"/>
              </w:rPr>
              <w:br/>
              <w:t>SOP no.</w:t>
            </w:r>
          </w:p>
        </w:tc>
      </w:tr>
      <w:tr w:rsidR="00F31E32" w:rsidRPr="00641FDA" w14:paraId="7BD89F55" w14:textId="77777777" w:rsidTr="00192AD1">
        <w:trPr>
          <w:cantSplit/>
          <w:trHeight w:val="397"/>
        </w:trPr>
        <w:tc>
          <w:tcPr>
            <w:tcW w:w="1959" w:type="dxa"/>
            <w:tcBorders>
              <w:top w:val="single" w:sz="4" w:space="0" w:color="auto"/>
              <w:bottom w:val="single" w:sz="4" w:space="0" w:color="auto"/>
            </w:tcBorders>
            <w:vAlign w:val="center"/>
          </w:tcPr>
          <w:p w14:paraId="44800C75" w14:textId="570A4F23" w:rsidR="00F31E32" w:rsidRPr="00641FDA" w:rsidRDefault="00F31E32" w:rsidP="000113F5">
            <w:pPr>
              <w:pStyle w:val="TableText"/>
              <w:rPr>
                <w:rFonts w:cs="Arial"/>
              </w:rPr>
            </w:pPr>
            <w:r w:rsidRPr="004C74E1">
              <w:rPr>
                <w:rFonts w:cs="Arial"/>
                <w:highlight w:val="yellow"/>
              </w:rPr>
              <w:t>HTA</w:t>
            </w:r>
            <w:r w:rsidR="00192AD1" w:rsidRPr="004C74E1">
              <w:rPr>
                <w:rFonts w:cs="Arial"/>
                <w:highlight w:val="yellow"/>
              </w:rPr>
              <w:t>_TEMP</w:t>
            </w:r>
            <w:r w:rsidRPr="004C74E1">
              <w:rPr>
                <w:rFonts w:cs="Arial"/>
                <w:highlight w:val="yellow"/>
              </w:rPr>
              <w:t>00</w:t>
            </w:r>
            <w:r w:rsidR="000113F5" w:rsidRPr="004C74E1">
              <w:rPr>
                <w:rFonts w:cs="Arial"/>
                <w:highlight w:val="yellow"/>
              </w:rPr>
              <w:t>6</w:t>
            </w:r>
            <w:r>
              <w:rPr>
                <w:rFonts w:cs="Arial"/>
              </w:rPr>
              <w:t xml:space="preserve"> </w:t>
            </w:r>
          </w:p>
        </w:tc>
        <w:tc>
          <w:tcPr>
            <w:tcW w:w="1276" w:type="dxa"/>
            <w:tcBorders>
              <w:top w:val="single" w:sz="4" w:space="0" w:color="auto"/>
              <w:bottom w:val="single" w:sz="4" w:space="0" w:color="auto"/>
            </w:tcBorders>
            <w:vAlign w:val="center"/>
          </w:tcPr>
          <w:p w14:paraId="7F6ABCEA" w14:textId="5B315143" w:rsidR="00F31E32" w:rsidRPr="00641FDA" w:rsidRDefault="004C74E1" w:rsidP="00305A90">
            <w:pPr>
              <w:pStyle w:val="TableText"/>
              <w:rPr>
                <w:rFonts w:cs="Arial"/>
              </w:rPr>
            </w:pPr>
            <w:r w:rsidRPr="004C74E1">
              <w:rPr>
                <w:rFonts w:cs="Arial"/>
                <w:highlight w:val="yellow"/>
              </w:rPr>
              <w:t>21/06/18</w:t>
            </w:r>
          </w:p>
        </w:tc>
        <w:tc>
          <w:tcPr>
            <w:tcW w:w="4252" w:type="dxa"/>
            <w:tcBorders>
              <w:top w:val="single" w:sz="4" w:space="0" w:color="auto"/>
              <w:bottom w:val="single" w:sz="4" w:space="0" w:color="auto"/>
            </w:tcBorders>
            <w:vAlign w:val="center"/>
          </w:tcPr>
          <w:p w14:paraId="3CDE6A19" w14:textId="468F2408" w:rsidR="00F31E32" w:rsidRPr="00641FDA" w:rsidRDefault="00192AD1" w:rsidP="00305A90">
            <w:pPr>
              <w:pStyle w:val="TableText"/>
              <w:rPr>
                <w:rFonts w:cs="Arial"/>
              </w:rPr>
            </w:pPr>
            <w:r w:rsidRPr="004C74E1">
              <w:rPr>
                <w:rFonts w:cs="Arial"/>
                <w:highlight w:val="yellow"/>
              </w:rPr>
              <w:t>New template SOP</w:t>
            </w:r>
          </w:p>
        </w:tc>
        <w:tc>
          <w:tcPr>
            <w:tcW w:w="1701" w:type="dxa"/>
            <w:tcBorders>
              <w:top w:val="single" w:sz="4" w:space="0" w:color="auto"/>
              <w:bottom w:val="single" w:sz="4" w:space="0" w:color="auto"/>
            </w:tcBorders>
            <w:vAlign w:val="center"/>
          </w:tcPr>
          <w:p w14:paraId="3B991C1F" w14:textId="3E0EDC97" w:rsidR="00F31E32" w:rsidRPr="00641FDA" w:rsidRDefault="004C74E1" w:rsidP="00305A90">
            <w:pPr>
              <w:pStyle w:val="TableText"/>
              <w:rPr>
                <w:rFonts w:cs="Arial"/>
              </w:rPr>
            </w:pPr>
            <w:r w:rsidRPr="004C74E1">
              <w:rPr>
                <w:rFonts w:cs="Arial"/>
                <w:highlight w:val="yellow"/>
              </w:rPr>
              <w:t>N/A</w:t>
            </w:r>
          </w:p>
        </w:tc>
      </w:tr>
      <w:tr w:rsidR="00F31E32" w:rsidRPr="00641FDA" w14:paraId="24DABBF8" w14:textId="77777777" w:rsidTr="00192AD1">
        <w:trPr>
          <w:cantSplit/>
          <w:trHeight w:val="397"/>
        </w:trPr>
        <w:tc>
          <w:tcPr>
            <w:tcW w:w="1959" w:type="dxa"/>
            <w:tcBorders>
              <w:top w:val="single" w:sz="4" w:space="0" w:color="auto"/>
              <w:bottom w:val="single" w:sz="4" w:space="0" w:color="auto"/>
            </w:tcBorders>
            <w:vAlign w:val="center"/>
          </w:tcPr>
          <w:p w14:paraId="40658A6C" w14:textId="77777777" w:rsidR="00F31E32" w:rsidRPr="00641FDA" w:rsidRDefault="00F31E32" w:rsidP="00305A90">
            <w:pPr>
              <w:pStyle w:val="TableText"/>
              <w:rPr>
                <w:rFonts w:cs="Arial"/>
              </w:rPr>
            </w:pPr>
          </w:p>
        </w:tc>
        <w:tc>
          <w:tcPr>
            <w:tcW w:w="1276" w:type="dxa"/>
            <w:tcBorders>
              <w:top w:val="single" w:sz="4" w:space="0" w:color="auto"/>
              <w:bottom w:val="single" w:sz="4" w:space="0" w:color="auto"/>
            </w:tcBorders>
            <w:vAlign w:val="center"/>
          </w:tcPr>
          <w:p w14:paraId="127C2588" w14:textId="77777777" w:rsidR="00F31E32" w:rsidRPr="00641FDA" w:rsidRDefault="00F31E32" w:rsidP="00305A90">
            <w:pPr>
              <w:pStyle w:val="TableText"/>
              <w:rPr>
                <w:rFonts w:cs="Arial"/>
              </w:rPr>
            </w:pPr>
          </w:p>
        </w:tc>
        <w:tc>
          <w:tcPr>
            <w:tcW w:w="4252" w:type="dxa"/>
            <w:tcBorders>
              <w:top w:val="single" w:sz="4" w:space="0" w:color="auto"/>
              <w:bottom w:val="single" w:sz="4" w:space="0" w:color="auto"/>
            </w:tcBorders>
            <w:vAlign w:val="center"/>
          </w:tcPr>
          <w:p w14:paraId="3FB89325" w14:textId="77777777" w:rsidR="00F31E32" w:rsidRPr="00641FDA" w:rsidRDefault="00F31E32" w:rsidP="00305A90">
            <w:pPr>
              <w:pStyle w:val="TableText"/>
              <w:rPr>
                <w:rFonts w:cs="Arial"/>
              </w:rPr>
            </w:pPr>
          </w:p>
        </w:tc>
        <w:tc>
          <w:tcPr>
            <w:tcW w:w="1701" w:type="dxa"/>
            <w:tcBorders>
              <w:top w:val="single" w:sz="4" w:space="0" w:color="auto"/>
              <w:bottom w:val="single" w:sz="4" w:space="0" w:color="auto"/>
            </w:tcBorders>
            <w:vAlign w:val="center"/>
          </w:tcPr>
          <w:p w14:paraId="26F1C9E2" w14:textId="77777777" w:rsidR="00F31E32" w:rsidRPr="00641FDA" w:rsidRDefault="00F31E32" w:rsidP="00305A90">
            <w:pPr>
              <w:pStyle w:val="TableText"/>
              <w:rPr>
                <w:rFonts w:cs="Arial"/>
              </w:rPr>
            </w:pPr>
          </w:p>
        </w:tc>
      </w:tr>
      <w:tr w:rsidR="00F31E32" w:rsidRPr="00641FDA" w14:paraId="0E3A7656" w14:textId="77777777" w:rsidTr="00192AD1">
        <w:trPr>
          <w:cantSplit/>
          <w:trHeight w:val="397"/>
        </w:trPr>
        <w:tc>
          <w:tcPr>
            <w:tcW w:w="1959" w:type="dxa"/>
            <w:tcBorders>
              <w:top w:val="single" w:sz="4" w:space="0" w:color="auto"/>
              <w:bottom w:val="single" w:sz="4" w:space="0" w:color="auto"/>
            </w:tcBorders>
            <w:vAlign w:val="center"/>
          </w:tcPr>
          <w:p w14:paraId="7669DCE7" w14:textId="77777777" w:rsidR="00F31E32" w:rsidRPr="00641FDA" w:rsidRDefault="00F31E32" w:rsidP="00305A90">
            <w:pPr>
              <w:pStyle w:val="TableText"/>
              <w:rPr>
                <w:rFonts w:cs="Arial"/>
              </w:rPr>
            </w:pPr>
          </w:p>
        </w:tc>
        <w:tc>
          <w:tcPr>
            <w:tcW w:w="1276" w:type="dxa"/>
            <w:tcBorders>
              <w:top w:val="single" w:sz="4" w:space="0" w:color="auto"/>
              <w:bottom w:val="single" w:sz="4" w:space="0" w:color="auto"/>
            </w:tcBorders>
            <w:vAlign w:val="center"/>
          </w:tcPr>
          <w:p w14:paraId="564C7284" w14:textId="77777777" w:rsidR="00F31E32" w:rsidRPr="00641FDA" w:rsidRDefault="00F31E32" w:rsidP="00305A90">
            <w:pPr>
              <w:pStyle w:val="TableText"/>
              <w:rPr>
                <w:rFonts w:cs="Arial"/>
              </w:rPr>
            </w:pPr>
          </w:p>
        </w:tc>
        <w:tc>
          <w:tcPr>
            <w:tcW w:w="4252" w:type="dxa"/>
            <w:tcBorders>
              <w:top w:val="single" w:sz="4" w:space="0" w:color="auto"/>
              <w:bottom w:val="single" w:sz="4" w:space="0" w:color="auto"/>
            </w:tcBorders>
            <w:vAlign w:val="center"/>
          </w:tcPr>
          <w:p w14:paraId="4DD221AC" w14:textId="77777777" w:rsidR="00F31E32" w:rsidRPr="00641FDA" w:rsidRDefault="00F31E32" w:rsidP="00305A90">
            <w:pPr>
              <w:pStyle w:val="TableText"/>
              <w:rPr>
                <w:rFonts w:cs="Arial"/>
              </w:rPr>
            </w:pPr>
          </w:p>
        </w:tc>
        <w:tc>
          <w:tcPr>
            <w:tcW w:w="1701" w:type="dxa"/>
            <w:tcBorders>
              <w:top w:val="single" w:sz="4" w:space="0" w:color="auto"/>
              <w:bottom w:val="single" w:sz="4" w:space="0" w:color="auto"/>
            </w:tcBorders>
            <w:vAlign w:val="center"/>
          </w:tcPr>
          <w:p w14:paraId="116296A8" w14:textId="77777777" w:rsidR="00F31E32" w:rsidRPr="00641FDA" w:rsidRDefault="00F31E32" w:rsidP="00305A90">
            <w:pPr>
              <w:pStyle w:val="TableText"/>
              <w:rPr>
                <w:rFonts w:cs="Arial"/>
              </w:rPr>
            </w:pPr>
          </w:p>
        </w:tc>
      </w:tr>
      <w:tr w:rsidR="00F31E32" w:rsidRPr="00641FDA" w14:paraId="02767180" w14:textId="77777777" w:rsidTr="00192AD1">
        <w:trPr>
          <w:cantSplit/>
          <w:trHeight w:val="397"/>
        </w:trPr>
        <w:tc>
          <w:tcPr>
            <w:tcW w:w="1959" w:type="dxa"/>
            <w:tcBorders>
              <w:top w:val="single" w:sz="4" w:space="0" w:color="auto"/>
            </w:tcBorders>
            <w:vAlign w:val="center"/>
          </w:tcPr>
          <w:p w14:paraId="73DA89C5" w14:textId="77777777" w:rsidR="00F31E32" w:rsidRPr="00641FDA" w:rsidRDefault="00F31E32" w:rsidP="00305A90">
            <w:pPr>
              <w:pStyle w:val="TableText"/>
              <w:rPr>
                <w:rFonts w:cs="Arial"/>
              </w:rPr>
            </w:pPr>
          </w:p>
        </w:tc>
        <w:tc>
          <w:tcPr>
            <w:tcW w:w="1276" w:type="dxa"/>
            <w:tcBorders>
              <w:top w:val="single" w:sz="4" w:space="0" w:color="auto"/>
            </w:tcBorders>
            <w:vAlign w:val="center"/>
          </w:tcPr>
          <w:p w14:paraId="21E4442D" w14:textId="77777777" w:rsidR="00F31E32" w:rsidRPr="00641FDA" w:rsidRDefault="00F31E32" w:rsidP="00305A90">
            <w:pPr>
              <w:pStyle w:val="TableText"/>
              <w:rPr>
                <w:rFonts w:cs="Arial"/>
              </w:rPr>
            </w:pPr>
          </w:p>
        </w:tc>
        <w:tc>
          <w:tcPr>
            <w:tcW w:w="4252" w:type="dxa"/>
            <w:tcBorders>
              <w:top w:val="single" w:sz="4" w:space="0" w:color="auto"/>
            </w:tcBorders>
            <w:vAlign w:val="center"/>
          </w:tcPr>
          <w:p w14:paraId="4D1844B2" w14:textId="77777777" w:rsidR="00F31E32" w:rsidRPr="00641FDA" w:rsidRDefault="00F31E32" w:rsidP="00305A90">
            <w:pPr>
              <w:pStyle w:val="TableText"/>
              <w:rPr>
                <w:rFonts w:cs="Arial"/>
              </w:rPr>
            </w:pPr>
          </w:p>
        </w:tc>
        <w:tc>
          <w:tcPr>
            <w:tcW w:w="1701" w:type="dxa"/>
            <w:tcBorders>
              <w:top w:val="single" w:sz="4" w:space="0" w:color="auto"/>
            </w:tcBorders>
            <w:vAlign w:val="center"/>
          </w:tcPr>
          <w:p w14:paraId="37102C0B" w14:textId="77777777" w:rsidR="00F31E32" w:rsidRPr="00641FDA" w:rsidRDefault="00F31E32" w:rsidP="00305A90">
            <w:pPr>
              <w:pStyle w:val="TableText"/>
              <w:rPr>
                <w:rFonts w:cs="Arial"/>
              </w:rPr>
            </w:pPr>
          </w:p>
        </w:tc>
      </w:tr>
    </w:tbl>
    <w:p w14:paraId="14ECE444" w14:textId="77777777" w:rsidR="00F31E32" w:rsidRDefault="00F31E32" w:rsidP="00F31E32">
      <w:pPr>
        <w:widowControl w:val="0"/>
        <w:jc w:val="center"/>
      </w:pPr>
    </w:p>
    <w:p w14:paraId="2E374A91" w14:textId="77777777" w:rsidR="0051181D" w:rsidRDefault="0051181D" w:rsidP="008860AE">
      <w:pPr>
        <w:pStyle w:val="TableText"/>
      </w:pPr>
    </w:p>
    <w:p w14:paraId="50C153B0" w14:textId="28267FBD" w:rsidR="0051181D" w:rsidRDefault="000F030F" w:rsidP="008860AE">
      <w:pPr>
        <w:widowControl w:val="0"/>
        <w:jc w:val="center"/>
      </w:pPr>
      <w:r w:rsidRPr="0097636D">
        <w:rPr>
          <w:rFonts w:asciiTheme="minorHAnsi" w:hAnsiTheme="minorHAnsi" w:cs="Arial"/>
          <w:noProof/>
          <w:sz w:val="24"/>
          <w:szCs w:val="24"/>
          <w:lang w:eastAsia="en-GB"/>
        </w:rPr>
        <mc:AlternateContent>
          <mc:Choice Requires="wps">
            <w:drawing>
              <wp:anchor distT="0" distB="0" distL="114300" distR="114300" simplePos="0" relativeHeight="251659264" behindDoc="0" locked="0" layoutInCell="1" allowOverlap="1" wp14:anchorId="07F82A20" wp14:editId="6D013502">
                <wp:simplePos x="0" y="0"/>
                <wp:positionH relativeFrom="margin">
                  <wp:posOffset>332509</wp:posOffset>
                </wp:positionH>
                <wp:positionV relativeFrom="paragraph">
                  <wp:posOffset>141894</wp:posOffset>
                </wp:positionV>
                <wp:extent cx="5867400" cy="891540"/>
                <wp:effectExtent l="0" t="0" r="19050" b="22860"/>
                <wp:wrapNone/>
                <wp:docPr id="1" name="Text Box 1"/>
                <wp:cNvGraphicFramePr/>
                <a:graphic xmlns:a="http://schemas.openxmlformats.org/drawingml/2006/main">
                  <a:graphicData uri="http://schemas.microsoft.com/office/word/2010/wordprocessingShape">
                    <wps:wsp>
                      <wps:cNvSpPr txBox="1"/>
                      <wps:spPr>
                        <a:xfrm>
                          <a:off x="0" y="0"/>
                          <a:ext cx="5867400" cy="891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E7F4DB" w14:textId="77777777" w:rsidR="000F030F" w:rsidRPr="00623EEF" w:rsidRDefault="000F030F" w:rsidP="000F030F">
                            <w:pPr>
                              <w:shd w:val="clear" w:color="auto" w:fill="FF0000"/>
                              <w:jc w:val="center"/>
                              <w:rPr>
                                <w:b/>
                                <w:color w:val="FFFFFF" w:themeColor="background1"/>
                                <w:sz w:val="36"/>
                                <w:szCs w:val="36"/>
                              </w:rPr>
                            </w:pPr>
                            <w:r w:rsidRPr="00623EEF">
                              <w:rPr>
                                <w:b/>
                                <w:color w:val="FFFFFF" w:themeColor="background1"/>
                                <w:sz w:val="36"/>
                                <w:szCs w:val="36"/>
                              </w:rPr>
                              <w:t>This document is uncontrolled once printed</w:t>
                            </w:r>
                          </w:p>
                          <w:p w14:paraId="19A97371" w14:textId="77777777" w:rsidR="000F030F" w:rsidRPr="00623EEF" w:rsidRDefault="000F030F" w:rsidP="000F030F">
                            <w:pPr>
                              <w:shd w:val="clear" w:color="auto" w:fill="FF0000"/>
                              <w:jc w:val="center"/>
                              <w:rPr>
                                <w:b/>
                                <w:color w:val="FFFFFF" w:themeColor="background1"/>
                                <w:sz w:val="24"/>
                                <w:szCs w:val="24"/>
                              </w:rPr>
                            </w:pPr>
                            <w:r w:rsidRPr="00623EEF">
                              <w:rPr>
                                <w:b/>
                                <w:color w:val="FFFFFF" w:themeColor="background1"/>
                                <w:sz w:val="24"/>
                                <w:szCs w:val="24"/>
                              </w:rPr>
                              <w:t>It is the responsibility of all users of this document to ensure that the correct and most current version is being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82A20" id="_x0000_t202" coordsize="21600,21600" o:spt="202" path="m,l,21600r21600,l21600,xe">
                <v:stroke joinstyle="miter"/>
                <v:path gradientshapeok="t" o:connecttype="rect"/>
              </v:shapetype>
              <v:shape id="Text Box 1" o:spid="_x0000_s1026" type="#_x0000_t202" style="position:absolute;left:0;text-align:left;margin-left:26.2pt;margin-top:11.15pt;width:462pt;height:7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" fillcolor="white [3201]" strokeweight=".5pt">
                <v:textbox>
                  <w:txbxContent>
                    <w:p w14:paraId="6CE7F4DB" w14:textId="77777777" w:rsidR="000F030F" w:rsidRPr="00623EEF" w:rsidRDefault="000F030F" w:rsidP="000F030F">
                      <w:pPr>
                        <w:shd w:val="clear" w:color="auto" w:fill="FF0000"/>
                        <w:jc w:val="center"/>
                        <w:rPr>
                          <w:b/>
                          <w:color w:val="FFFFFF" w:themeColor="background1"/>
                          <w:sz w:val="36"/>
                          <w:szCs w:val="36"/>
                        </w:rPr>
                      </w:pPr>
                      <w:r w:rsidRPr="00623EEF">
                        <w:rPr>
                          <w:b/>
                          <w:color w:val="FFFFFF" w:themeColor="background1"/>
                          <w:sz w:val="36"/>
                          <w:szCs w:val="36"/>
                        </w:rPr>
                        <w:t>This document is uncontrolled once printed</w:t>
                      </w:r>
                    </w:p>
                    <w:p w14:paraId="19A97371" w14:textId="77777777" w:rsidR="000F030F" w:rsidRPr="00623EEF" w:rsidRDefault="000F030F" w:rsidP="000F030F">
                      <w:pPr>
                        <w:shd w:val="clear" w:color="auto" w:fill="FF0000"/>
                        <w:jc w:val="center"/>
                        <w:rPr>
                          <w:b/>
                          <w:color w:val="FFFFFF" w:themeColor="background1"/>
                          <w:sz w:val="24"/>
                          <w:szCs w:val="24"/>
                        </w:rPr>
                      </w:pPr>
                      <w:r w:rsidRPr="00623EEF">
                        <w:rPr>
                          <w:b/>
                          <w:color w:val="FFFFFF" w:themeColor="background1"/>
                          <w:sz w:val="24"/>
                          <w:szCs w:val="24"/>
                        </w:rPr>
                        <w:t>It is the responsibility of all users of this document to ensure that the correct and most current version is being used.</w:t>
                      </w:r>
                    </w:p>
                  </w:txbxContent>
                </v:textbox>
                <w10:wrap anchorx="margin"/>
              </v:shape>
            </w:pict>
          </mc:Fallback>
        </mc:AlternateContent>
      </w:r>
    </w:p>
    <w:p w14:paraId="05111CDA" w14:textId="34F7F95F" w:rsidR="00ED047B" w:rsidRDefault="00ED047B" w:rsidP="008860AE">
      <w:pPr>
        <w:widowControl w:val="0"/>
        <w:jc w:val="center"/>
      </w:pPr>
    </w:p>
    <w:p w14:paraId="3674E9FD" w14:textId="425194A4" w:rsidR="00ED047B" w:rsidRDefault="00ED047B" w:rsidP="008860AE">
      <w:pPr>
        <w:widowControl w:val="0"/>
        <w:jc w:val="center"/>
      </w:pPr>
    </w:p>
    <w:p w14:paraId="07DA6950" w14:textId="72C0BED8" w:rsidR="00ED047B" w:rsidRDefault="00ED047B" w:rsidP="008860AE">
      <w:pPr>
        <w:widowControl w:val="0"/>
        <w:jc w:val="center"/>
      </w:pPr>
    </w:p>
    <w:p w14:paraId="542A5ACD" w14:textId="77777777" w:rsidR="00ED047B" w:rsidRDefault="00ED047B" w:rsidP="008860AE">
      <w:pPr>
        <w:widowControl w:val="0"/>
        <w:jc w:val="center"/>
      </w:pPr>
    </w:p>
    <w:p w14:paraId="6034F181" w14:textId="77777777" w:rsidR="00ED047B" w:rsidRDefault="00ED047B" w:rsidP="00ED047B">
      <w:pPr>
        <w:widowControl w:val="0"/>
        <w:sectPr w:rsidR="00ED047B" w:rsidSect="0031751A">
          <w:headerReference w:type="default" r:id="rId8"/>
          <w:footerReference w:type="default" r:id="rId9"/>
          <w:type w:val="continuous"/>
          <w:pgSz w:w="11906" w:h="16838" w:code="9"/>
          <w:pgMar w:top="1440" w:right="1174" w:bottom="1440" w:left="1174" w:header="675" w:footer="668" w:gutter="0"/>
          <w:cols w:space="720"/>
        </w:sectPr>
      </w:pPr>
    </w:p>
    <w:p w14:paraId="23B466FF" w14:textId="3E2AFBED" w:rsidR="0051181D" w:rsidRDefault="0051181D" w:rsidP="008860AE">
      <w:pPr>
        <w:pStyle w:val="Heading1"/>
      </w:pPr>
      <w:bookmarkStart w:id="4" w:name="_Toc525446010"/>
      <w:bookmarkStart w:id="5" w:name="_Toc497230465"/>
      <w:r>
        <w:t>purpose</w:t>
      </w:r>
      <w:bookmarkEnd w:id="4"/>
      <w:r w:rsidR="00F31E32">
        <w:t xml:space="preserve"> AND SCOPE</w:t>
      </w:r>
      <w:bookmarkEnd w:id="5"/>
    </w:p>
    <w:p w14:paraId="4384C278" w14:textId="7BE46295" w:rsidR="00192AD1" w:rsidRDefault="00192AD1" w:rsidP="00192AD1">
      <w:pPr>
        <w:pStyle w:val="Style1"/>
      </w:pPr>
      <w:bookmarkStart w:id="6" w:name="_Toc525446011"/>
      <w:r w:rsidRPr="00192AD1">
        <w:t xml:space="preserve">The </w:t>
      </w:r>
      <w:r w:rsidRPr="00192AD1">
        <w:rPr>
          <w:highlight w:val="yellow"/>
        </w:rPr>
        <w:t>&lt;name of study</w:t>
      </w:r>
      <w:r w:rsidR="004826F3">
        <w:rPr>
          <w:highlight w:val="yellow"/>
        </w:rPr>
        <w:t>/ institute / building/</w:t>
      </w:r>
      <w:r w:rsidRPr="00192AD1">
        <w:rPr>
          <w:highlight w:val="yellow"/>
        </w:rPr>
        <w:t xml:space="preserve"> RTB &gt;</w:t>
      </w:r>
      <w:r w:rsidRPr="00192AD1">
        <w:t xml:space="preserve"> is a resource for researchers studying </w:t>
      </w:r>
      <w:r w:rsidRPr="00192AD1">
        <w:rPr>
          <w:highlight w:val="yellow"/>
        </w:rPr>
        <w:t>&lt;brief description of study area&gt;</w:t>
      </w:r>
      <w:r w:rsidRPr="00192AD1">
        <w:t xml:space="preserve">. </w:t>
      </w:r>
    </w:p>
    <w:p w14:paraId="5AE0193B" w14:textId="37726BE1" w:rsidR="009B7F57" w:rsidRDefault="004D1A6F" w:rsidP="00192AD1">
      <w:pPr>
        <w:pStyle w:val="Style1"/>
      </w:pPr>
      <w:bookmarkStart w:id="7" w:name="_Toc497230467"/>
      <w:r>
        <w:t>The collection</w:t>
      </w:r>
      <w:r w:rsidR="00F4707C">
        <w:t xml:space="preserve"> </w:t>
      </w:r>
      <w:r w:rsidR="00D442BF" w:rsidRPr="00D442BF">
        <w:rPr>
          <w:highlight w:val="yellow"/>
        </w:rPr>
        <w:t>&lt;insert collection name&gt;</w:t>
      </w:r>
      <w:r w:rsidR="00D442BF">
        <w:t xml:space="preserve"> </w:t>
      </w:r>
      <w:r>
        <w:t>is registered under H</w:t>
      </w:r>
      <w:r w:rsidR="00D36B89">
        <w:t xml:space="preserve">uman </w:t>
      </w:r>
      <w:r>
        <w:t>T</w:t>
      </w:r>
      <w:r w:rsidR="00D36B89">
        <w:t xml:space="preserve">issue </w:t>
      </w:r>
      <w:r>
        <w:t>A</w:t>
      </w:r>
      <w:r w:rsidR="00D36B89">
        <w:t>uthority (HTA)</w:t>
      </w:r>
      <w:r>
        <w:t xml:space="preserve"> licence 12217 and as such complies with the </w:t>
      </w:r>
      <w:r w:rsidR="00F4707C">
        <w:t>requirements of the Human Tissue Act 2004 (HT Act)</w:t>
      </w:r>
      <w:r w:rsidR="006520A6">
        <w:t xml:space="preserve">, the HTA </w:t>
      </w:r>
      <w:r w:rsidR="00ED047B">
        <w:t xml:space="preserve">Codes of Practice and </w:t>
      </w:r>
      <w:r w:rsidR="006520A6">
        <w:t>Standards for Research</w:t>
      </w:r>
      <w:r w:rsidRPr="004D1A6F">
        <w:rPr>
          <w:vertAlign w:val="superscript"/>
        </w:rPr>
        <w:t>E1</w:t>
      </w:r>
      <w:r w:rsidR="002B218A">
        <w:t xml:space="preserve">, </w:t>
      </w:r>
      <w:r w:rsidR="00F4707C">
        <w:t xml:space="preserve">the </w:t>
      </w:r>
      <w:r w:rsidR="00D442BF">
        <w:t>consent</w:t>
      </w:r>
      <w:r w:rsidR="00F4707C">
        <w:t xml:space="preserve"> under which </w:t>
      </w:r>
      <w:r w:rsidR="003F5FC6">
        <w:t>the</w:t>
      </w:r>
      <w:r>
        <w:t xml:space="preserve"> samples</w:t>
      </w:r>
      <w:r w:rsidR="003F5FC6">
        <w:t xml:space="preserve"> were</w:t>
      </w:r>
      <w:r w:rsidR="00F4707C">
        <w:t xml:space="preserve"> obtained</w:t>
      </w:r>
      <w:r w:rsidR="00192AD1">
        <w:t xml:space="preserve"> </w:t>
      </w:r>
      <w:r w:rsidR="00D442BF">
        <w:t xml:space="preserve">(where relevant) </w:t>
      </w:r>
      <w:r w:rsidR="00192AD1">
        <w:t>and the core procedures in place for licence 12217</w:t>
      </w:r>
      <w:r w:rsidR="009B7F57" w:rsidRPr="009B7F57">
        <w:t>.</w:t>
      </w:r>
      <w:bookmarkEnd w:id="7"/>
      <w:r w:rsidR="009B7F57" w:rsidRPr="009B7F57">
        <w:t xml:space="preserve"> </w:t>
      </w:r>
    </w:p>
    <w:p w14:paraId="019382F0" w14:textId="2001F61D" w:rsidR="00ED047B" w:rsidRDefault="00873F04" w:rsidP="00ED047B">
      <w:pPr>
        <w:pStyle w:val="Style1"/>
      </w:pPr>
      <w:r w:rsidRPr="00873F04">
        <w:t xml:space="preserve">The purpose of this Standard Operating Procedure (SOP) is </w:t>
      </w:r>
      <w:r w:rsidR="00ED047B">
        <w:t>to</w:t>
      </w:r>
      <w:r w:rsidR="00ED047B" w:rsidRPr="00ED047B">
        <w:t xml:space="preserve"> provide instructions </w:t>
      </w:r>
      <w:r w:rsidR="00ED047B">
        <w:t>and</w:t>
      </w:r>
      <w:r w:rsidR="00ED047B" w:rsidRPr="00ED047B">
        <w:t xml:space="preserve"> procedures which must be followed in response to any event which may have an adverse influence on </w:t>
      </w:r>
      <w:r w:rsidR="000113F5">
        <w:t>data entry and data management in</w:t>
      </w:r>
      <w:r w:rsidR="00ED047B" w:rsidRPr="00ED047B">
        <w:t xml:space="preserve"> the </w:t>
      </w:r>
      <w:r w:rsidR="00ED047B" w:rsidRPr="00192AD1">
        <w:rPr>
          <w:highlight w:val="yellow"/>
        </w:rPr>
        <w:t>&lt;name of study</w:t>
      </w:r>
      <w:r w:rsidR="00ED047B">
        <w:rPr>
          <w:highlight w:val="yellow"/>
        </w:rPr>
        <w:t>/ institute / building/</w:t>
      </w:r>
      <w:r w:rsidR="00ED047B" w:rsidRPr="00192AD1">
        <w:rPr>
          <w:highlight w:val="yellow"/>
        </w:rPr>
        <w:t xml:space="preserve"> RTB &gt;</w:t>
      </w:r>
      <w:r w:rsidR="00ED047B" w:rsidRPr="00192AD1">
        <w:t xml:space="preserve"> </w:t>
      </w:r>
      <w:r w:rsidR="00ED047B" w:rsidRPr="00ED047B">
        <w:t>collections in order to overcome that event.</w:t>
      </w:r>
    </w:p>
    <w:p w14:paraId="1F34B04D" w14:textId="6159A4FC" w:rsidR="00823A6E" w:rsidRDefault="00823A6E" w:rsidP="00ED047B">
      <w:pPr>
        <w:pStyle w:val="Style1"/>
      </w:pPr>
      <w:r>
        <w:t>The information contained in this SOP must be in accordance with information given in core procedures for HTA licence 12217</w:t>
      </w:r>
      <w:r w:rsidR="004D1A6F">
        <w:t xml:space="preserve">, particularly the core SOP on </w:t>
      </w:r>
      <w:r w:rsidR="00D36B89">
        <w:t>Adverse Event Reporting and Impact Assessment</w:t>
      </w:r>
      <w:r w:rsidR="00ED047B">
        <w:t xml:space="preserve"> (HTA003</w:t>
      </w:r>
      <w:r w:rsidR="004D1A6F">
        <w:t>)</w:t>
      </w:r>
      <w:r w:rsidR="004D1A6F" w:rsidRPr="00ED047B">
        <w:rPr>
          <w:vertAlign w:val="superscript"/>
        </w:rPr>
        <w:t>I1</w:t>
      </w:r>
      <w:r>
        <w:t>.</w:t>
      </w:r>
    </w:p>
    <w:p w14:paraId="14F74707" w14:textId="505F76D1" w:rsidR="004D1A6F" w:rsidRDefault="004D1A6F" w:rsidP="004D1A6F">
      <w:pPr>
        <w:pStyle w:val="Style3"/>
      </w:pPr>
      <w:r w:rsidRPr="004D1A6F">
        <w:t xml:space="preserve">This SOP applies to </w:t>
      </w:r>
      <w:r w:rsidR="00844DC7">
        <w:t xml:space="preserve">all </w:t>
      </w:r>
      <w:r w:rsidRPr="00192AD1">
        <w:rPr>
          <w:highlight w:val="yellow"/>
        </w:rPr>
        <w:t>&lt;name of study</w:t>
      </w:r>
      <w:r>
        <w:rPr>
          <w:highlight w:val="yellow"/>
        </w:rPr>
        <w:t>/ institute / building/</w:t>
      </w:r>
      <w:r w:rsidRPr="00192AD1">
        <w:rPr>
          <w:highlight w:val="yellow"/>
        </w:rPr>
        <w:t xml:space="preserve"> RTB &gt;</w:t>
      </w:r>
      <w:r w:rsidRPr="00192AD1">
        <w:t xml:space="preserve"> </w:t>
      </w:r>
      <w:r w:rsidRPr="004D1A6F">
        <w:t>personnel</w:t>
      </w:r>
      <w:r w:rsidR="000113F5">
        <w:t xml:space="preserve"> involved in data entry and data management</w:t>
      </w:r>
      <w:r w:rsidRPr="004D1A6F">
        <w:t>.</w:t>
      </w:r>
    </w:p>
    <w:p w14:paraId="281B2355" w14:textId="4640232F" w:rsidR="00844DC7" w:rsidRDefault="00844DC7" w:rsidP="00844DC7">
      <w:pPr>
        <w:pStyle w:val="Style3"/>
      </w:pPr>
      <w:r>
        <w:t xml:space="preserve">It is the responsibility of the </w:t>
      </w:r>
      <w:r w:rsidRPr="00844DC7">
        <w:rPr>
          <w:highlight w:val="yellow"/>
        </w:rPr>
        <w:t>&lt;Chief Investigator/University Principal Investigator or delegated personnel&gt;</w:t>
      </w:r>
      <w:r>
        <w:t xml:space="preserve"> to ensure that SOPs exist for </w:t>
      </w:r>
      <w:r w:rsidRPr="00192AD1">
        <w:rPr>
          <w:highlight w:val="yellow"/>
        </w:rPr>
        <w:t>&lt;name of study</w:t>
      </w:r>
      <w:r>
        <w:rPr>
          <w:highlight w:val="yellow"/>
        </w:rPr>
        <w:t>/ institute / building/</w:t>
      </w:r>
      <w:r w:rsidRPr="00192AD1">
        <w:rPr>
          <w:highlight w:val="yellow"/>
        </w:rPr>
        <w:t xml:space="preserve"> RTB &gt;</w:t>
      </w:r>
      <w:r w:rsidRPr="00192AD1">
        <w:t xml:space="preserve"> </w:t>
      </w:r>
      <w:r w:rsidR="000113F5">
        <w:t>tasks related to data management</w:t>
      </w:r>
      <w:r>
        <w:t>.</w:t>
      </w:r>
    </w:p>
    <w:p w14:paraId="342744BA" w14:textId="2C6F321C" w:rsidR="00844DC7" w:rsidRDefault="00844DC7" w:rsidP="00844DC7">
      <w:pPr>
        <w:pStyle w:val="Style3"/>
      </w:pPr>
      <w:r>
        <w:t xml:space="preserve">It is the responsibility of the </w:t>
      </w:r>
      <w:r w:rsidRPr="00844DC7">
        <w:rPr>
          <w:highlight w:val="yellow"/>
        </w:rPr>
        <w:t>&lt;CI/PI&gt;</w:t>
      </w:r>
      <w:r>
        <w:t xml:space="preserve"> to maintain oversight of </w:t>
      </w:r>
      <w:r w:rsidR="00B84E30">
        <w:t xml:space="preserve">all </w:t>
      </w:r>
      <w:r>
        <w:t>tasks which they have delegated.</w:t>
      </w:r>
    </w:p>
    <w:p w14:paraId="61846D08" w14:textId="0F97154F" w:rsidR="00844DC7" w:rsidRDefault="00844DC7" w:rsidP="00844DC7">
      <w:pPr>
        <w:pStyle w:val="Style3"/>
      </w:pPr>
      <w:r>
        <w:t xml:space="preserve">It is the responsibility of all </w:t>
      </w:r>
      <w:r w:rsidRPr="00192AD1">
        <w:rPr>
          <w:highlight w:val="yellow"/>
        </w:rPr>
        <w:t>&lt;name of study</w:t>
      </w:r>
      <w:r>
        <w:rPr>
          <w:highlight w:val="yellow"/>
        </w:rPr>
        <w:t>/ institute / building/</w:t>
      </w:r>
      <w:r w:rsidRPr="00192AD1">
        <w:rPr>
          <w:highlight w:val="yellow"/>
        </w:rPr>
        <w:t xml:space="preserve"> RTB &gt;</w:t>
      </w:r>
      <w:r>
        <w:t xml:space="preserve"> personnel to follow the SOP for each procedure.</w:t>
      </w:r>
    </w:p>
    <w:p w14:paraId="3057C777" w14:textId="78E9678D" w:rsidR="00844DC7" w:rsidRDefault="00844DC7" w:rsidP="00844DC7">
      <w:pPr>
        <w:pStyle w:val="Style3"/>
      </w:pPr>
      <w:r>
        <w:t xml:space="preserve">It is the responsibility of the </w:t>
      </w:r>
      <w:r w:rsidRPr="00844DC7">
        <w:rPr>
          <w:highlight w:val="yellow"/>
        </w:rPr>
        <w:t>&lt;CI/PI or delegated personnel&gt;</w:t>
      </w:r>
      <w:r>
        <w:t xml:space="preserve"> to ensure compliance of personnel and to ensure that only authorised and trained individuals perform study</w:t>
      </w:r>
      <w:r w:rsidR="0096621B">
        <w:t>-specific</w:t>
      </w:r>
      <w:r>
        <w:t xml:space="preserve"> tasks using</w:t>
      </w:r>
      <w:r w:rsidR="0096621B">
        <w:t xml:space="preserve"> controlled</w:t>
      </w:r>
      <w:r>
        <w:t xml:space="preserve"> SOPs. </w:t>
      </w:r>
    </w:p>
    <w:p w14:paraId="1B1E84A3" w14:textId="5A254EFC" w:rsidR="00823A6E" w:rsidRDefault="00823A6E" w:rsidP="00823A6E">
      <w:pPr>
        <w:pStyle w:val="Style3"/>
      </w:pPr>
      <w:r>
        <w:t xml:space="preserve">It is the responsibility of all </w:t>
      </w:r>
      <w:r w:rsidR="004826F3" w:rsidRPr="00192AD1">
        <w:rPr>
          <w:highlight w:val="yellow"/>
        </w:rPr>
        <w:t>&lt;name of study</w:t>
      </w:r>
      <w:r w:rsidR="004826F3">
        <w:rPr>
          <w:highlight w:val="yellow"/>
        </w:rPr>
        <w:t>/ institute / building/</w:t>
      </w:r>
      <w:r w:rsidR="004826F3" w:rsidRPr="00192AD1">
        <w:rPr>
          <w:highlight w:val="yellow"/>
        </w:rPr>
        <w:t xml:space="preserve"> RTB &gt;</w:t>
      </w:r>
      <w:r w:rsidR="004826F3" w:rsidRPr="00192AD1">
        <w:t xml:space="preserve"> </w:t>
      </w:r>
      <w:r>
        <w:t xml:space="preserve">personnel to inform the </w:t>
      </w:r>
      <w:r w:rsidRPr="00823A6E">
        <w:rPr>
          <w:highlight w:val="yellow"/>
        </w:rPr>
        <w:t>&lt;CI/PI or delegated personnel &gt;</w:t>
      </w:r>
      <w:r>
        <w:t xml:space="preserve"> so that an Adverse Event form</w:t>
      </w:r>
      <w:r w:rsidR="008D5ABE">
        <w:rPr>
          <w:vertAlign w:val="superscript"/>
        </w:rPr>
        <w:t>I2</w:t>
      </w:r>
      <w:r>
        <w:t xml:space="preserve"> is submitted to the Human Tissue Governance Team (HTGT) and Designated Individual (DI) in accordance with core SOP HTA003</w:t>
      </w:r>
      <w:r>
        <w:rPr>
          <w:vertAlign w:val="superscript"/>
        </w:rPr>
        <w:t>I1</w:t>
      </w:r>
      <w:r>
        <w:t xml:space="preserve"> when </w:t>
      </w:r>
      <w:r w:rsidR="00AF6C07">
        <w:t>applicable</w:t>
      </w:r>
      <w:r>
        <w:t>.</w:t>
      </w:r>
    </w:p>
    <w:p w14:paraId="7CD32FE3" w14:textId="0F665D72" w:rsidR="00823A6E" w:rsidRDefault="00823A6E" w:rsidP="00823A6E">
      <w:pPr>
        <w:pStyle w:val="Style3"/>
      </w:pPr>
      <w:r>
        <w:t xml:space="preserve">It is the responsibility of the </w:t>
      </w:r>
      <w:r w:rsidRPr="00823A6E">
        <w:rPr>
          <w:highlight w:val="yellow"/>
        </w:rPr>
        <w:t>&lt;CI/PI or delegated personnel &gt;</w:t>
      </w:r>
      <w:r>
        <w:t xml:space="preserve"> to identify any appropriate corrective and preventative measures and implement these measures within an accepted timeframe.</w:t>
      </w:r>
    </w:p>
    <w:p w14:paraId="2059ACD1" w14:textId="5C1DCC26" w:rsidR="0051181D" w:rsidRDefault="0051181D">
      <w:pPr>
        <w:pStyle w:val="Heading1"/>
      </w:pPr>
      <w:bookmarkStart w:id="8" w:name="_Toc497230043"/>
      <w:bookmarkStart w:id="9" w:name="_Toc497230475"/>
      <w:bookmarkStart w:id="10" w:name="_Toc497230044"/>
      <w:bookmarkStart w:id="11" w:name="_Toc497230476"/>
      <w:bookmarkStart w:id="12" w:name="_Toc497230045"/>
      <w:bookmarkStart w:id="13" w:name="_Toc497230477"/>
      <w:bookmarkStart w:id="14" w:name="_Toc497230047"/>
      <w:bookmarkStart w:id="15" w:name="_Toc497230479"/>
      <w:bookmarkStart w:id="16" w:name="_Toc497230048"/>
      <w:bookmarkStart w:id="17" w:name="_Toc497230480"/>
      <w:bookmarkStart w:id="18" w:name="_Toc497230049"/>
      <w:bookmarkStart w:id="19" w:name="_Toc497230481"/>
      <w:bookmarkStart w:id="20" w:name="_Toc497230050"/>
      <w:bookmarkStart w:id="21" w:name="_Toc497230482"/>
      <w:bookmarkStart w:id="22" w:name="_Toc497230051"/>
      <w:bookmarkStart w:id="23" w:name="_Toc497230483"/>
      <w:bookmarkStart w:id="24" w:name="_Toc497230052"/>
      <w:bookmarkStart w:id="25" w:name="_Toc497230484"/>
      <w:bookmarkStart w:id="26" w:name="_Toc497230053"/>
      <w:bookmarkStart w:id="27" w:name="_Toc497230485"/>
      <w:bookmarkStart w:id="28" w:name="_Toc497230054"/>
      <w:bookmarkStart w:id="29" w:name="_Toc497230486"/>
      <w:bookmarkStart w:id="30" w:name="_Toc497230055"/>
      <w:bookmarkStart w:id="31" w:name="_Toc497230487"/>
      <w:bookmarkStart w:id="32" w:name="_Toc497230056"/>
      <w:bookmarkStart w:id="33" w:name="_Toc497230488"/>
      <w:bookmarkStart w:id="34" w:name="_Toc497230057"/>
      <w:bookmarkStart w:id="35" w:name="_Toc497230489"/>
      <w:bookmarkStart w:id="36" w:name="_Toc497230058"/>
      <w:bookmarkStart w:id="37" w:name="_Toc497230490"/>
      <w:bookmarkStart w:id="38" w:name="_Toc497230059"/>
      <w:bookmarkStart w:id="39" w:name="_Toc497230491"/>
      <w:bookmarkStart w:id="40" w:name="_Toc497230060"/>
      <w:bookmarkStart w:id="41" w:name="_Toc497230492"/>
      <w:bookmarkStart w:id="42" w:name="_Toc497230061"/>
      <w:bookmarkStart w:id="43" w:name="_Toc497230493"/>
      <w:bookmarkStart w:id="44" w:name="_Toc497230062"/>
      <w:bookmarkStart w:id="45" w:name="_Toc497230494"/>
      <w:bookmarkStart w:id="46" w:name="_Toc497230063"/>
      <w:bookmarkStart w:id="47" w:name="_Toc497230495"/>
      <w:bookmarkStart w:id="48" w:name="_Toc497230064"/>
      <w:bookmarkStart w:id="49" w:name="_Toc497230496"/>
      <w:bookmarkStart w:id="50" w:name="_Toc497230065"/>
      <w:bookmarkStart w:id="51" w:name="_Toc497230497"/>
      <w:bookmarkStart w:id="52" w:name="_Toc497230066"/>
      <w:bookmarkStart w:id="53" w:name="_Toc497230498"/>
      <w:bookmarkStart w:id="54" w:name="_Toc497230067"/>
      <w:bookmarkStart w:id="55" w:name="_Toc497230499"/>
      <w:bookmarkStart w:id="56" w:name="_Toc497230068"/>
      <w:bookmarkStart w:id="57" w:name="_Toc497230500"/>
      <w:bookmarkStart w:id="58" w:name="_Toc497230069"/>
      <w:bookmarkStart w:id="59" w:name="_Toc497230501"/>
      <w:bookmarkStart w:id="60" w:name="_Toc497230070"/>
      <w:bookmarkStart w:id="61" w:name="_Toc497230502"/>
      <w:bookmarkStart w:id="62" w:name="_Toc497230071"/>
      <w:bookmarkStart w:id="63" w:name="_Toc497230503"/>
      <w:bookmarkStart w:id="64" w:name="_Toc497230072"/>
      <w:bookmarkStart w:id="65" w:name="_Toc497230504"/>
      <w:bookmarkStart w:id="66" w:name="_Toc497230080"/>
      <w:bookmarkStart w:id="67" w:name="_Toc497230512"/>
      <w:bookmarkStart w:id="68" w:name="_Toc497230513"/>
      <w:bookmarkEnd w:id="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t>PROCEDURE</w:t>
      </w:r>
      <w:bookmarkEnd w:id="68"/>
      <w:r w:rsidR="0079114F">
        <w:t xml:space="preserve">: </w:t>
      </w:r>
      <w:r w:rsidR="000113F5">
        <w:t>Data</w:t>
      </w:r>
      <w:r w:rsidR="0079114F">
        <w:t xml:space="preserve"> CONTINGENCY PLAN</w:t>
      </w:r>
    </w:p>
    <w:p w14:paraId="76D5FCEE" w14:textId="3C50CAE7" w:rsidR="00B71585" w:rsidRDefault="000113F5" w:rsidP="00B71585">
      <w:pPr>
        <w:pStyle w:val="Heading2"/>
      </w:pPr>
      <w:r>
        <w:t>Computer failure or loss</w:t>
      </w:r>
    </w:p>
    <w:p w14:paraId="7285A430" w14:textId="26DD612D" w:rsidR="00F1574C" w:rsidRPr="00F1574C" w:rsidRDefault="00F1574C" w:rsidP="00F1574C">
      <w:pPr>
        <w:pStyle w:val="Heading3"/>
      </w:pPr>
      <w:r w:rsidRPr="00F1574C">
        <w:t xml:space="preserve">Secure Network Drives </w:t>
      </w:r>
      <w:r w:rsidRPr="00F1574C">
        <w:rPr>
          <w:highlight w:val="yellow"/>
        </w:rPr>
        <w:t>&lt;insert details</w:t>
      </w:r>
      <w:r>
        <w:rPr>
          <w:highlight w:val="yellow"/>
        </w:rPr>
        <w:t xml:space="preserve"> of the secure drives used</w:t>
      </w:r>
      <w:r w:rsidRPr="00F1574C">
        <w:rPr>
          <w:highlight w:val="yellow"/>
        </w:rPr>
        <w:t>&gt;</w:t>
      </w:r>
      <w:r w:rsidRPr="00F1574C">
        <w:t xml:space="preserve"> should be used to store records and data associated with human material collections. </w:t>
      </w:r>
    </w:p>
    <w:p w14:paraId="69B1DBC7" w14:textId="77777777" w:rsidR="00F1574C" w:rsidRDefault="00F1574C" w:rsidP="00F1574C">
      <w:pPr>
        <w:pStyle w:val="Heading3"/>
      </w:pPr>
      <w:r w:rsidRPr="00F1574C">
        <w:t xml:space="preserve">All records and/or data </w:t>
      </w:r>
      <w:r>
        <w:t>pertaining to human participants and human samples must</w:t>
      </w:r>
      <w:r w:rsidRPr="00F1574C">
        <w:t xml:space="preserve"> be appropriately backed up to prevent loss in the event of computer failure (e.g. electrical, fire, flood etc.)</w:t>
      </w:r>
      <w:r>
        <w:t xml:space="preserve"> </w:t>
      </w:r>
      <w:r w:rsidRPr="00F1574C">
        <w:rPr>
          <w:highlight w:val="yellow"/>
        </w:rPr>
        <w:t>&lt;insert details of back up provisions&gt;</w:t>
      </w:r>
      <w:r w:rsidRPr="00F1574C">
        <w:t>.</w:t>
      </w:r>
    </w:p>
    <w:p w14:paraId="1B359BB1" w14:textId="0B82A96D" w:rsidR="00F1574C" w:rsidRPr="00F1574C" w:rsidRDefault="00F1574C" w:rsidP="00F1574C">
      <w:pPr>
        <w:pStyle w:val="Heading3"/>
      </w:pPr>
      <w:r>
        <w:t>Any loss of data or records pertaining to human participants or samples stored under licence 12217 must be reported following procedures described in cor</w:t>
      </w:r>
      <w:r w:rsidR="008D5ABE">
        <w:t>e SOP HTA003</w:t>
      </w:r>
      <w:r>
        <w:rPr>
          <w:vertAlign w:val="superscript"/>
        </w:rPr>
        <w:t>I1</w:t>
      </w:r>
      <w:r w:rsidR="00F7726D">
        <w:t xml:space="preserve"> and using the core </w:t>
      </w:r>
      <w:r w:rsidR="007B7645">
        <w:t>adverse</w:t>
      </w:r>
      <w:r w:rsidR="00F7726D">
        <w:t xml:space="preserve"> event form HTA_FRM003</w:t>
      </w:r>
      <w:r w:rsidR="00F7726D">
        <w:rPr>
          <w:vertAlign w:val="superscript"/>
        </w:rPr>
        <w:t>I2</w:t>
      </w:r>
      <w:r>
        <w:t>.</w:t>
      </w:r>
    </w:p>
    <w:p w14:paraId="462307E1" w14:textId="1022988E" w:rsidR="00F1574C" w:rsidRDefault="00F1574C" w:rsidP="00F1574C">
      <w:pPr>
        <w:pStyle w:val="Heading2"/>
      </w:pPr>
      <w:r>
        <w:t>Server access</w:t>
      </w:r>
    </w:p>
    <w:p w14:paraId="1A43437A" w14:textId="6829462E" w:rsidR="00F1574C" w:rsidRDefault="00F1574C" w:rsidP="00F1574C">
      <w:pPr>
        <w:pStyle w:val="Heading3"/>
      </w:pPr>
      <w:r>
        <w:t xml:space="preserve">Data and records pertaining to </w:t>
      </w:r>
      <w:r w:rsidRPr="00F1574C">
        <w:rPr>
          <w:highlight w:val="yellow"/>
        </w:rPr>
        <w:t>&lt;insert name of study, sample collection or RTB&gt;</w:t>
      </w:r>
      <w:r>
        <w:t xml:space="preserve"> are stored on </w:t>
      </w:r>
      <w:r w:rsidRPr="00F1574C">
        <w:rPr>
          <w:highlight w:val="yellow"/>
        </w:rPr>
        <w:t>&lt;insert details of University or OUHFT server(s) where sample tracking databases / records / consent records are saved&gt;</w:t>
      </w:r>
      <w:r>
        <w:t>.</w:t>
      </w:r>
    </w:p>
    <w:p w14:paraId="31F6DAC9" w14:textId="2D94632F" w:rsidR="00F1574C" w:rsidRDefault="00F1574C" w:rsidP="00F1574C">
      <w:pPr>
        <w:pStyle w:val="Heading3"/>
      </w:pPr>
      <w:r>
        <w:t xml:space="preserve">If there is a problem with </w:t>
      </w:r>
      <w:r w:rsidR="009F6C69">
        <w:t xml:space="preserve">the </w:t>
      </w:r>
      <w:r>
        <w:t>University of Oxford or Oxford University Hospitals NHS Foundation Trust</w:t>
      </w:r>
      <w:r w:rsidR="009F6C69">
        <w:t>’s</w:t>
      </w:r>
      <w:r>
        <w:t xml:space="preserve"> servers that affects access to the drives providing access to sample tracking databases, then the appropriate service desk should be contacted </w:t>
      </w:r>
      <w:r w:rsidRPr="00F1574C">
        <w:rPr>
          <w:highlight w:val="yellow"/>
        </w:rPr>
        <w:t>&lt;insert details of IT service desk to be contacted</w:t>
      </w:r>
      <w:r>
        <w:rPr>
          <w:highlight w:val="yellow"/>
        </w:rPr>
        <w:t xml:space="preserve"> and contact details</w:t>
      </w:r>
      <w:r w:rsidRPr="00F1574C">
        <w:rPr>
          <w:highlight w:val="yellow"/>
        </w:rPr>
        <w:t>&gt;.</w:t>
      </w:r>
    </w:p>
    <w:p w14:paraId="718F9EAB" w14:textId="77777777" w:rsidR="00F1574C" w:rsidRDefault="00F1574C" w:rsidP="00F1574C">
      <w:pPr>
        <w:pStyle w:val="Heading3"/>
      </w:pPr>
      <w:r>
        <w:t xml:space="preserve">The </w:t>
      </w:r>
      <w:r w:rsidRPr="00F1574C">
        <w:rPr>
          <w:highlight w:val="yellow"/>
        </w:rPr>
        <w:t>&lt;CI/PI or delegated personnel&gt;</w:t>
      </w:r>
      <w:r>
        <w:t xml:space="preserve"> must be informed that the database cannot be accessed.</w:t>
      </w:r>
    </w:p>
    <w:p w14:paraId="50E5F874" w14:textId="77777777" w:rsidR="00F1574C" w:rsidRDefault="00F1574C" w:rsidP="00ED062E">
      <w:pPr>
        <w:pStyle w:val="Heading3"/>
      </w:pPr>
      <w:r>
        <w:t>If there are samples to be processed whilst the database cannot be accessed then the following details (but not limited to these) should be recorded in a laboratory book:</w:t>
      </w:r>
    </w:p>
    <w:p w14:paraId="45872447" w14:textId="217952EF" w:rsidR="00F1574C" w:rsidRDefault="00F1574C" w:rsidP="00F1574C">
      <w:pPr>
        <w:pStyle w:val="Style4"/>
      </w:pPr>
      <w:r>
        <w:t>Date</w:t>
      </w:r>
    </w:p>
    <w:p w14:paraId="6C8799F2" w14:textId="77777777" w:rsidR="00F1574C" w:rsidRDefault="00F1574C" w:rsidP="00F1574C">
      <w:pPr>
        <w:pStyle w:val="Style4"/>
      </w:pPr>
      <w:r>
        <w:t>Sample number</w:t>
      </w:r>
    </w:p>
    <w:p w14:paraId="2929D72C" w14:textId="77777777" w:rsidR="00F1574C" w:rsidRDefault="00F1574C" w:rsidP="00F1574C">
      <w:pPr>
        <w:pStyle w:val="Style4"/>
      </w:pPr>
      <w:r>
        <w:t>Sample type</w:t>
      </w:r>
    </w:p>
    <w:p w14:paraId="45306902" w14:textId="77777777" w:rsidR="00F1574C" w:rsidRDefault="00F1574C" w:rsidP="00F1574C">
      <w:pPr>
        <w:pStyle w:val="Style4"/>
      </w:pPr>
      <w:r>
        <w:t>Number of aliquots created (if appropriate)</w:t>
      </w:r>
    </w:p>
    <w:p w14:paraId="6D394A24" w14:textId="77777777" w:rsidR="00F1574C" w:rsidRDefault="00F1574C" w:rsidP="00F1574C">
      <w:pPr>
        <w:pStyle w:val="Style4"/>
      </w:pPr>
      <w:r>
        <w:t>Storage location of samples/aliquots</w:t>
      </w:r>
    </w:p>
    <w:p w14:paraId="49DE2DCE" w14:textId="77777777" w:rsidR="00F1574C" w:rsidRDefault="00F1574C" w:rsidP="00F1574C">
      <w:pPr>
        <w:pStyle w:val="Heading3"/>
      </w:pPr>
      <w:r>
        <w:t>The samples can be processed as per the usual procedure.</w:t>
      </w:r>
    </w:p>
    <w:p w14:paraId="6B9012DF" w14:textId="14DC94AB" w:rsidR="00F1574C" w:rsidRDefault="00F1574C" w:rsidP="00F1574C">
      <w:pPr>
        <w:pStyle w:val="Heading3"/>
      </w:pPr>
      <w:r>
        <w:t>Once the appropriate servers are back online, then the database can be updated with the sample details recorded in the laboratory book and the records in the laboratory book signed off and dated.</w:t>
      </w:r>
    </w:p>
    <w:p w14:paraId="1130E974" w14:textId="058A2E06" w:rsidR="00F1574C" w:rsidRDefault="00F1574C" w:rsidP="00F1574C">
      <w:pPr>
        <w:pStyle w:val="Heading3"/>
      </w:pPr>
      <w:r>
        <w:t xml:space="preserve">The </w:t>
      </w:r>
      <w:r w:rsidRPr="00F1574C">
        <w:rPr>
          <w:highlight w:val="yellow"/>
        </w:rPr>
        <w:t>&lt;specify University or OUHFT&gt;</w:t>
      </w:r>
      <w:r>
        <w:t xml:space="preserve"> servers are backed up </w:t>
      </w:r>
      <w:r w:rsidRPr="00F1574C">
        <w:rPr>
          <w:highlight w:val="yellow"/>
        </w:rPr>
        <w:t>&lt;insert frequency of back-up&gt;</w:t>
      </w:r>
      <w:r>
        <w:t xml:space="preserve"> but the database should be reviewed</w:t>
      </w:r>
      <w:r w:rsidR="00F7726D">
        <w:t xml:space="preserve"> through a process of internal audit</w:t>
      </w:r>
      <w:r>
        <w:t xml:space="preserve"> to ensure no data is missing.</w:t>
      </w:r>
      <w:r w:rsidR="009B79F6">
        <w:t xml:space="preserve"> In accordance with the core SOP ‘Quarantine, registration and audit’</w:t>
      </w:r>
      <w:r w:rsidR="00896D0E">
        <w:rPr>
          <w:vertAlign w:val="superscript"/>
        </w:rPr>
        <w:t>I3</w:t>
      </w:r>
    </w:p>
    <w:p w14:paraId="42651E3B" w14:textId="065055B6" w:rsidR="00F7726D" w:rsidRPr="00F1574C" w:rsidRDefault="00F7726D" w:rsidP="00F7726D">
      <w:pPr>
        <w:pStyle w:val="Heading3"/>
      </w:pPr>
      <w:r>
        <w:t>Any loss of data or records pertaining to human participants or samples stored under licence 12217 must be reported following procedures described in cor</w:t>
      </w:r>
      <w:r w:rsidR="009B79F6">
        <w:t>e SOP HTA003</w:t>
      </w:r>
      <w:r>
        <w:rPr>
          <w:vertAlign w:val="superscript"/>
        </w:rPr>
        <w:t>I1</w:t>
      </w:r>
      <w:r>
        <w:t>.</w:t>
      </w:r>
    </w:p>
    <w:p w14:paraId="41B5F8EF" w14:textId="3C1FE32B" w:rsidR="002B218A" w:rsidRPr="008E53DC" w:rsidRDefault="0051181D" w:rsidP="00A64DCC">
      <w:pPr>
        <w:pStyle w:val="Heading1"/>
      </w:pPr>
      <w:bookmarkStart w:id="69" w:name="_Toc53202747"/>
      <w:bookmarkStart w:id="70" w:name="_Toc497230667"/>
      <w:r w:rsidRPr="008E53DC">
        <w:t>internal and external references</w:t>
      </w:r>
      <w:bookmarkEnd w:id="69"/>
      <w:bookmarkEnd w:id="70"/>
    </w:p>
    <w:p w14:paraId="7D1BB732" w14:textId="77777777" w:rsidR="0051181D" w:rsidRDefault="0051181D">
      <w:pPr>
        <w:pStyle w:val="Heading2"/>
      </w:pPr>
      <w:bookmarkStart w:id="71" w:name="_Toc497230668"/>
      <w:r>
        <w:t>Internal References</w:t>
      </w:r>
      <w:bookmarkEnd w:id="71"/>
    </w:p>
    <w:p w14:paraId="37A38D32" w14:textId="199C55FD" w:rsidR="00FB1E2B" w:rsidRDefault="00FB1E2B" w:rsidP="00B71585">
      <w:pPr>
        <w:pStyle w:val="NormalIndent"/>
        <w:jc w:val="left"/>
      </w:pPr>
      <w:r w:rsidRPr="00FB1E2B">
        <w:rPr>
          <w:vertAlign w:val="superscript"/>
        </w:rPr>
        <w:t>I1</w:t>
      </w:r>
      <w:r w:rsidRPr="00FB1E2B">
        <w:t xml:space="preserve"> </w:t>
      </w:r>
      <w:r w:rsidR="00C70A8F">
        <w:t>C</w:t>
      </w:r>
      <w:r w:rsidR="00272E89">
        <w:t>ore SOP on Adverse Event Reporting and Impact Assessment</w:t>
      </w:r>
      <w:r>
        <w:t xml:space="preserve"> HTA003: accessible from the HTA </w:t>
      </w:r>
      <w:r w:rsidR="00272E89">
        <w:t>Licence 12217 Core documents</w:t>
      </w:r>
      <w:r>
        <w:t xml:space="preserve"> tab at </w:t>
      </w:r>
      <w:hyperlink r:id="rId10" w:history="1">
        <w:r w:rsidR="00272E89" w:rsidRPr="00D73FAF">
          <w:rPr>
            <w:rStyle w:val="Hyperlink"/>
          </w:rPr>
          <w:t>https://researchsup</w:t>
        </w:r>
        <w:r w:rsidR="00272E89" w:rsidRPr="00D73FAF">
          <w:rPr>
            <w:rStyle w:val="Hyperlink"/>
          </w:rPr>
          <w:t>p</w:t>
        </w:r>
        <w:r w:rsidR="00272E89" w:rsidRPr="00D73FAF">
          <w:rPr>
            <w:rStyle w:val="Hyperlink"/>
          </w:rPr>
          <w:t>ort.admin.ox.ac.uk/governance/human-tissue/resources</w:t>
        </w:r>
      </w:hyperlink>
      <w:r w:rsidR="00272E89">
        <w:t xml:space="preserve"> </w:t>
      </w:r>
    </w:p>
    <w:p w14:paraId="5A1E680B" w14:textId="2965A692" w:rsidR="00170393" w:rsidRDefault="00170393" w:rsidP="00B71585">
      <w:pPr>
        <w:pStyle w:val="NormalIndent"/>
        <w:jc w:val="left"/>
      </w:pPr>
      <w:r>
        <w:rPr>
          <w:vertAlign w:val="superscript"/>
        </w:rPr>
        <w:t>I2</w:t>
      </w:r>
      <w:r w:rsidR="00C70A8F">
        <w:t xml:space="preserve"> C</w:t>
      </w:r>
      <w:r>
        <w:t xml:space="preserve">ore Adverse Event form HTA_FRM003: accessible from the </w:t>
      </w:r>
      <w:r w:rsidR="00272E89">
        <w:t>HTA Licence 12217 Core documents tab at</w:t>
      </w:r>
      <w:r>
        <w:t xml:space="preserve"> </w:t>
      </w:r>
      <w:hyperlink r:id="rId11" w:history="1">
        <w:r w:rsidR="00272E89" w:rsidRPr="00D73FAF">
          <w:rPr>
            <w:rStyle w:val="Hyperlink"/>
          </w:rPr>
          <w:t>https://researc</w:t>
        </w:r>
        <w:r w:rsidR="00272E89" w:rsidRPr="00D73FAF">
          <w:rPr>
            <w:rStyle w:val="Hyperlink"/>
          </w:rPr>
          <w:t>h</w:t>
        </w:r>
        <w:r w:rsidR="00272E89" w:rsidRPr="00D73FAF">
          <w:rPr>
            <w:rStyle w:val="Hyperlink"/>
          </w:rPr>
          <w:t>support.admin.ox.ac.uk/governance/human-tissue/resources</w:t>
        </w:r>
      </w:hyperlink>
      <w:r w:rsidR="00272E89">
        <w:t xml:space="preserve"> </w:t>
      </w:r>
    </w:p>
    <w:p w14:paraId="21145CD8" w14:textId="5FA4394C" w:rsidR="00896D0E" w:rsidRDefault="00896D0E" w:rsidP="00B71585">
      <w:pPr>
        <w:pStyle w:val="NormalIndent"/>
        <w:jc w:val="left"/>
        <w:rPr>
          <w:rStyle w:val="Hyperlink"/>
        </w:rPr>
      </w:pPr>
      <w:r>
        <w:rPr>
          <w:vertAlign w:val="superscript"/>
        </w:rPr>
        <w:t xml:space="preserve">I3 </w:t>
      </w:r>
      <w:r w:rsidRPr="00896D0E">
        <w:t>Core</w:t>
      </w:r>
      <w:r>
        <w:t xml:space="preserve"> SOP on Quarantine, registration and audit HTA006: accessible from the HTA Licence 12217 Core documents tab at </w:t>
      </w:r>
      <w:hyperlink r:id="rId12" w:history="1">
        <w:r w:rsidRPr="00D73FAF">
          <w:rPr>
            <w:rStyle w:val="Hyperlink"/>
          </w:rPr>
          <w:t>https://researchsupport.admin.ox.ac.u</w:t>
        </w:r>
        <w:r w:rsidRPr="00D73FAF">
          <w:rPr>
            <w:rStyle w:val="Hyperlink"/>
          </w:rPr>
          <w:t>k</w:t>
        </w:r>
        <w:r w:rsidRPr="00D73FAF">
          <w:rPr>
            <w:rStyle w:val="Hyperlink"/>
          </w:rPr>
          <w:t>/governance/human-tissue/resources</w:t>
        </w:r>
      </w:hyperlink>
      <w:r>
        <w:t xml:space="preserve"> </w:t>
      </w:r>
    </w:p>
    <w:p w14:paraId="01B653ED" w14:textId="77777777" w:rsidR="0051181D" w:rsidRDefault="0051181D">
      <w:pPr>
        <w:pStyle w:val="Heading2"/>
      </w:pPr>
      <w:bookmarkStart w:id="72" w:name="_Toc497230237"/>
      <w:bookmarkStart w:id="73" w:name="_Toc497230669"/>
      <w:bookmarkStart w:id="74" w:name="_Toc497230238"/>
      <w:bookmarkStart w:id="75" w:name="_Toc497230670"/>
      <w:bookmarkStart w:id="76" w:name="_Toc497230671"/>
      <w:bookmarkEnd w:id="72"/>
      <w:bookmarkEnd w:id="73"/>
      <w:bookmarkEnd w:id="74"/>
      <w:bookmarkEnd w:id="75"/>
      <w:r>
        <w:t>External References</w:t>
      </w:r>
      <w:bookmarkEnd w:id="76"/>
    </w:p>
    <w:p w14:paraId="304D17B4" w14:textId="7BD8ED81" w:rsidR="00325313" w:rsidRDefault="00325313" w:rsidP="00325313">
      <w:pPr>
        <w:spacing w:after="0"/>
        <w:ind w:left="709"/>
      </w:pPr>
      <w:r>
        <w:rPr>
          <w:vertAlign w:val="superscript"/>
        </w:rPr>
        <w:t>E1</w:t>
      </w:r>
      <w:r>
        <w:t xml:space="preserve"> HTA Standards for the Research sector: </w:t>
      </w:r>
      <w:hyperlink r:id="rId13" w:history="1">
        <w:r w:rsidRPr="0014234F">
          <w:rPr>
            <w:rStyle w:val="Hyperlink"/>
          </w:rPr>
          <w:t>https://www.hta.gov.uk/sites/default/files/Code%20E%20Research%20Standards%20and%20Guidance.pdf</w:t>
        </w:r>
      </w:hyperlink>
      <w:r>
        <w:t xml:space="preserve"> </w:t>
      </w:r>
    </w:p>
    <w:p w14:paraId="6080F8C4" w14:textId="77777777" w:rsidR="006520A6" w:rsidRDefault="006520A6" w:rsidP="00325313">
      <w:pPr>
        <w:spacing w:after="0"/>
        <w:ind w:left="709"/>
      </w:pPr>
    </w:p>
    <w:p w14:paraId="4B79DE7E" w14:textId="38E7F1A0" w:rsidR="007443D0" w:rsidRDefault="007443D0" w:rsidP="005C0616">
      <w:pPr>
        <w:spacing w:after="0"/>
        <w:sectPr w:rsidR="007443D0" w:rsidSect="0031751A">
          <w:type w:val="continuous"/>
          <w:pgSz w:w="11906" w:h="16838" w:code="9"/>
          <w:pgMar w:top="1418" w:right="1134" w:bottom="1644" w:left="1418" w:header="675" w:footer="590" w:gutter="0"/>
          <w:cols w:space="720"/>
          <w:docGrid w:linePitch="299"/>
        </w:sectPr>
      </w:pPr>
    </w:p>
    <w:p w14:paraId="448B92C5" w14:textId="77777777" w:rsidR="001842EB" w:rsidRPr="001842EB" w:rsidRDefault="001842EB" w:rsidP="001842EB"/>
    <w:sectPr w:rsidR="001842EB" w:rsidRPr="001842EB" w:rsidSect="0031751A">
      <w:type w:val="continuous"/>
      <w:pgSz w:w="11906" w:h="16838" w:code="9"/>
      <w:pgMar w:top="1418" w:right="1134" w:bottom="1644" w:left="1418" w:header="675" w:footer="59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982C9" w14:textId="77777777" w:rsidR="00343F26" w:rsidRDefault="00343F26" w:rsidP="003B1D99">
      <w:pPr>
        <w:spacing w:after="0"/>
      </w:pPr>
      <w:r>
        <w:separator/>
      </w:r>
    </w:p>
  </w:endnote>
  <w:endnote w:type="continuationSeparator" w:id="0">
    <w:p w14:paraId="5FBD2FE6" w14:textId="77777777" w:rsidR="00343F26" w:rsidRDefault="00343F26" w:rsidP="003B1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48738" w14:textId="6B1DDB05" w:rsidR="000F030F" w:rsidRPr="000F030F" w:rsidRDefault="000F030F">
    <w:pPr>
      <w:pStyle w:val="Footer"/>
      <w:rPr>
        <w:sz w:val="16"/>
        <w:szCs w:val="16"/>
      </w:rPr>
    </w:pPr>
    <w:r>
      <w:rPr>
        <w:sz w:val="16"/>
        <w:szCs w:val="16"/>
      </w:rPr>
      <w:t xml:space="preserve">NB: If using a printed copy of this document, you must ensure that it is the latest version by checking it against the original available </w:t>
    </w:r>
    <w:r w:rsidRPr="000F030F">
      <w:rPr>
        <w:sz w:val="16"/>
        <w:szCs w:val="16"/>
        <w:highlight w:val="yellow"/>
      </w:rPr>
      <w:t>&lt;enter electronic location/website/QMS details&gt;</w:t>
    </w:r>
  </w:p>
  <w:p w14:paraId="67699F80" w14:textId="77777777" w:rsidR="00343F26" w:rsidRPr="00B86289" w:rsidRDefault="00343F26">
    <w:pPr>
      <w:pStyle w:val="Footer"/>
      <w:rPr>
        <w:sz w:val="20"/>
      </w:rPr>
    </w:pPr>
    <w:r w:rsidRPr="00B86289">
      <w:rPr>
        <w:sz w:val="20"/>
      </w:rPr>
      <w:t>Adapted from CTRG Template SOP Version 2.1</w:t>
    </w:r>
  </w:p>
  <w:p w14:paraId="5A18D408" w14:textId="45A68B98" w:rsidR="00343F26" w:rsidRPr="00B86289" w:rsidRDefault="00343F26">
    <w:pPr>
      <w:pStyle w:val="Footer"/>
      <w:rPr>
        <w:sz w:val="20"/>
      </w:rPr>
    </w:pPr>
    <w:r w:rsidRPr="00B86289">
      <w:rPr>
        <w:sz w:val="20"/>
      </w:rPr>
      <w:t>© Copyright: The University of Oxford 2009</w:t>
    </w:r>
    <w:r w:rsidR="005A406D">
      <w:rPr>
        <w:sz w:val="20"/>
      </w:rPr>
      <w:t xml:space="preserve"> - 2018</w:t>
    </w:r>
  </w:p>
  <w:p w14:paraId="058B0B48" w14:textId="77777777" w:rsidR="00343F26" w:rsidRDefault="00343F26" w:rsidP="00B86289">
    <w:pPr>
      <w:pStyle w:val="Footer"/>
      <w:tabs>
        <w:tab w:val="clear" w:pos="4153"/>
        <w:tab w:val="clear" w:pos="8306"/>
        <w:tab w:val="center" w:pos="4820"/>
        <w:tab w:val="right" w:pos="9498"/>
      </w:tabs>
    </w:pPr>
    <w:r>
      <w:tab/>
      <w:t xml:space="preserve">Page </w:t>
    </w:r>
    <w:r>
      <w:fldChar w:fldCharType="begin"/>
    </w:r>
    <w:r>
      <w:instrText xml:space="preserve"> PAGE </w:instrText>
    </w:r>
    <w:r>
      <w:fldChar w:fldCharType="separate"/>
    </w:r>
    <w:r w:rsidR="00E742B1">
      <w:rPr>
        <w:noProof/>
      </w:rPr>
      <w:t>4</w:t>
    </w:r>
    <w:r>
      <w:fldChar w:fldCharType="end"/>
    </w:r>
    <w:r>
      <w:t xml:space="preserve"> of </w:t>
    </w:r>
    <w:r w:rsidR="00E742B1">
      <w:fldChar w:fldCharType="begin"/>
    </w:r>
    <w:r w:rsidR="00E742B1">
      <w:instrText xml:space="preserve"> NUMPAGES </w:instrText>
    </w:r>
    <w:r w:rsidR="00E742B1">
      <w:fldChar w:fldCharType="separate"/>
    </w:r>
    <w:r w:rsidR="00E742B1">
      <w:rPr>
        <w:noProof/>
      </w:rPr>
      <w:t>4</w:t>
    </w:r>
    <w:r w:rsidR="00E742B1">
      <w:rPr>
        <w:noProof/>
      </w:rPr>
      <w:fldChar w:fldCharType="end"/>
    </w:r>
  </w:p>
  <w:p w14:paraId="423C6A80" w14:textId="77777777" w:rsidR="00343F26" w:rsidRDefault="00343F26">
    <w:pPr>
      <w:pStyle w:val="Footer"/>
      <w:tabs>
        <w:tab w:val="clear" w:pos="8306"/>
        <w:tab w:val="right" w:pos="9498"/>
      </w:tabs>
    </w:pPr>
    <w:r>
      <w:tab/>
    </w:r>
    <w:r>
      <w:rPr>
        <w:sz w:val="16"/>
      </w:rPr>
      <w:t xml:space="preserve"> </w:t>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30624" w14:textId="77777777" w:rsidR="00343F26" w:rsidRDefault="00343F26" w:rsidP="003B1D99">
      <w:pPr>
        <w:spacing w:after="0"/>
      </w:pPr>
      <w:r>
        <w:separator/>
      </w:r>
    </w:p>
  </w:footnote>
  <w:footnote w:type="continuationSeparator" w:id="0">
    <w:p w14:paraId="3A413BBB" w14:textId="77777777" w:rsidR="00343F26" w:rsidRDefault="00343F26" w:rsidP="003B1D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Layout w:type="fixed"/>
      <w:tblLook w:val="0000" w:firstRow="0" w:lastRow="0" w:firstColumn="0" w:lastColumn="0" w:noHBand="0" w:noVBand="0"/>
    </w:tblPr>
    <w:tblGrid>
      <w:gridCol w:w="5920"/>
      <w:gridCol w:w="3969"/>
    </w:tblGrid>
    <w:tr w:rsidR="00343F26" w:rsidRPr="005A1E82" w14:paraId="763A95D9" w14:textId="77777777">
      <w:tc>
        <w:tcPr>
          <w:tcW w:w="5920" w:type="dxa"/>
        </w:tcPr>
        <w:p w14:paraId="75824DA4" w14:textId="4D43F332" w:rsidR="00343F26" w:rsidRDefault="00E618FC">
          <w:pPr>
            <w:rPr>
              <w:b/>
              <w:bCs/>
            </w:rPr>
          </w:pPr>
          <w:r w:rsidRPr="00E618FC">
            <w:rPr>
              <w:b/>
              <w:bCs/>
            </w:rPr>
            <w:t>STANDARD OPERATING PROCEDURE</w:t>
          </w:r>
        </w:p>
      </w:tc>
      <w:tc>
        <w:tcPr>
          <w:tcW w:w="3969" w:type="dxa"/>
          <w:tcBorders>
            <w:left w:val="nil"/>
          </w:tcBorders>
        </w:tcPr>
        <w:p w14:paraId="22E99660" w14:textId="6479F1CB" w:rsidR="00343F26" w:rsidRPr="005A1E82" w:rsidRDefault="00343F26" w:rsidP="00020197">
          <w:pPr>
            <w:jc w:val="right"/>
            <w:rPr>
              <w:b/>
              <w:bCs/>
              <w:highlight w:val="yellow"/>
            </w:rPr>
          </w:pPr>
        </w:p>
      </w:tc>
    </w:tr>
    <w:tr w:rsidR="00343F26" w:rsidRPr="005A1E82" w14:paraId="29627528" w14:textId="77777777">
      <w:trPr>
        <w:cantSplit/>
      </w:trPr>
      <w:tc>
        <w:tcPr>
          <w:tcW w:w="5920" w:type="dxa"/>
          <w:vMerge w:val="restart"/>
          <w:vAlign w:val="bottom"/>
        </w:tcPr>
        <w:p w14:paraId="40938FC8" w14:textId="77777777" w:rsidR="00343F26" w:rsidRDefault="00343F26">
          <w:pPr>
            <w:rPr>
              <w:b/>
              <w:bCs/>
              <w:iCs/>
            </w:rPr>
          </w:pPr>
        </w:p>
      </w:tc>
      <w:tc>
        <w:tcPr>
          <w:tcW w:w="3969" w:type="dxa"/>
          <w:tcBorders>
            <w:left w:val="nil"/>
          </w:tcBorders>
        </w:tcPr>
        <w:p w14:paraId="14B70E98" w14:textId="77777777" w:rsidR="005A1E82" w:rsidRDefault="00343F26" w:rsidP="000113F5">
          <w:pPr>
            <w:jc w:val="right"/>
            <w:rPr>
              <w:b/>
              <w:bCs/>
              <w:highlight w:val="yellow"/>
            </w:rPr>
          </w:pPr>
          <w:r w:rsidRPr="00E742B1">
            <w:rPr>
              <w:b/>
              <w:bCs/>
            </w:rPr>
            <w:t xml:space="preserve">SOP No: </w:t>
          </w:r>
          <w:r w:rsidR="00F057B9" w:rsidRPr="005A1E82">
            <w:rPr>
              <w:b/>
              <w:bCs/>
              <w:highlight w:val="yellow"/>
            </w:rPr>
            <w:t>HTA_TEMP</w:t>
          </w:r>
          <w:r w:rsidRPr="005A1E82">
            <w:rPr>
              <w:b/>
              <w:bCs/>
              <w:highlight w:val="yellow"/>
            </w:rPr>
            <w:t>00</w:t>
          </w:r>
          <w:r w:rsidR="000113F5" w:rsidRPr="005A1E82">
            <w:rPr>
              <w:b/>
              <w:bCs/>
              <w:highlight w:val="yellow"/>
            </w:rPr>
            <w:t>6</w:t>
          </w:r>
          <w:r w:rsidRPr="005A1E82">
            <w:rPr>
              <w:b/>
              <w:bCs/>
              <w:highlight w:val="yellow"/>
            </w:rPr>
            <w:t xml:space="preserve"> </w:t>
          </w:r>
        </w:p>
        <w:p w14:paraId="77FFBF7F" w14:textId="7221D221" w:rsidR="00343F26" w:rsidRPr="005A1E82" w:rsidRDefault="005A1E82" w:rsidP="000113F5">
          <w:pPr>
            <w:jc w:val="right"/>
            <w:rPr>
              <w:b/>
              <w:bCs/>
              <w:highlight w:val="yellow"/>
            </w:rPr>
          </w:pPr>
          <w:r w:rsidRPr="00E742B1">
            <w:rPr>
              <w:b/>
              <w:bCs/>
            </w:rPr>
            <w:t>Version</w:t>
          </w:r>
          <w:r>
            <w:rPr>
              <w:b/>
              <w:bCs/>
              <w:highlight w:val="yellow"/>
            </w:rPr>
            <w:t xml:space="preserve"> 1.0</w:t>
          </w:r>
        </w:p>
      </w:tc>
    </w:tr>
    <w:tr w:rsidR="00343F26" w:rsidRPr="00CE6E83" w14:paraId="22442AA5" w14:textId="77777777" w:rsidTr="00B86289">
      <w:trPr>
        <w:cantSplit/>
        <w:trHeight w:val="390"/>
      </w:trPr>
      <w:tc>
        <w:tcPr>
          <w:tcW w:w="5920" w:type="dxa"/>
          <w:vMerge/>
        </w:tcPr>
        <w:p w14:paraId="4135497C" w14:textId="77777777" w:rsidR="00343F26" w:rsidRDefault="00343F26">
          <w:pPr>
            <w:rPr>
              <w:b/>
              <w:bCs/>
              <w:i/>
            </w:rPr>
          </w:pPr>
        </w:p>
      </w:tc>
      <w:tc>
        <w:tcPr>
          <w:tcW w:w="3969" w:type="dxa"/>
          <w:tcBorders>
            <w:left w:val="nil"/>
            <w:bottom w:val="nil"/>
          </w:tcBorders>
        </w:tcPr>
        <w:p w14:paraId="3450FE9A" w14:textId="21798282" w:rsidR="00343F26" w:rsidRPr="00CE6E83" w:rsidRDefault="00343F26">
          <w:pPr>
            <w:jc w:val="right"/>
            <w:rPr>
              <w:b/>
              <w:bCs/>
            </w:rPr>
          </w:pPr>
          <w:r w:rsidRPr="00CE6E83">
            <w:rPr>
              <w:b/>
              <w:bCs/>
            </w:rPr>
            <w:t xml:space="preserve"> </w:t>
          </w:r>
        </w:p>
      </w:tc>
    </w:tr>
  </w:tbl>
  <w:sdt>
    <w:sdtPr>
      <w:id w:val="1469704495"/>
      <w:docPartObj>
        <w:docPartGallery w:val="Watermarks"/>
        <w:docPartUnique/>
      </w:docPartObj>
    </w:sdtPr>
    <w:sdtEndPr/>
    <w:sdtContent>
      <w:p w14:paraId="2C24C778" w14:textId="77777777" w:rsidR="00343F26" w:rsidRDefault="00E742B1">
        <w:r>
          <w:rPr>
            <w:noProof/>
            <w:lang w:val="en-US"/>
          </w:rPr>
          <w:pict w14:anchorId="418AE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7008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B63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F80C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2F7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A88C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C6B2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7011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F0C5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1E9688"/>
    <w:lvl w:ilvl="0">
      <w:start w:val="1"/>
      <w:numFmt w:val="decimal"/>
      <w:lvlText w:val="%1."/>
      <w:lvlJc w:val="left"/>
      <w:pPr>
        <w:tabs>
          <w:tab w:val="num" w:pos="360"/>
        </w:tabs>
        <w:ind w:left="360" w:hanging="360"/>
      </w:pPr>
    </w:lvl>
  </w:abstractNum>
  <w:abstractNum w:abstractNumId="9" w15:restartNumberingAfterBreak="0">
    <w:nsid w:val="02FF2834"/>
    <w:multiLevelType w:val="multilevel"/>
    <w:tmpl w:val="79B469F2"/>
    <w:lvl w:ilvl="0">
      <w:start w:val="1"/>
      <w:numFmt w:val="bullet"/>
      <w:lvlRestart w:val="0"/>
      <w:lvlText w:val=""/>
      <w:lvlJc w:val="left"/>
      <w:pPr>
        <w:tabs>
          <w:tab w:val="num" w:pos="1296"/>
        </w:tabs>
        <w:ind w:left="1296" w:hanging="576"/>
      </w:pPr>
      <w:rPr>
        <w:rFonts w:ascii="Symbol" w:hAnsi="Symbol" w:hint="default"/>
        <w:color w:val="auto"/>
      </w:rPr>
    </w:lvl>
    <w:lvl w:ilvl="1">
      <w:start w:val="1"/>
      <w:numFmt w:val="none"/>
      <w:suff w:val="nothing"/>
      <w:lvlText w:val=""/>
      <w:lvlJc w:val="left"/>
      <w:pPr>
        <w:ind w:left="1296" w:firstLine="0"/>
      </w:pPr>
      <w:rPr>
        <w:color w:val="auto"/>
      </w:rPr>
    </w:lvl>
    <w:lvl w:ilvl="2">
      <w:start w:val="1"/>
      <w:numFmt w:val="bullet"/>
      <w:lvlText w:val=""/>
      <w:lvlJc w:val="left"/>
      <w:pPr>
        <w:tabs>
          <w:tab w:val="num" w:pos="1872"/>
        </w:tabs>
        <w:ind w:left="1872" w:hanging="576"/>
      </w:pPr>
      <w:rPr>
        <w:rFonts w:ascii="Symbol" w:hAnsi="Symbol" w:hint="default"/>
        <w:color w:val="auto"/>
      </w:rPr>
    </w:lvl>
    <w:lvl w:ilvl="3">
      <w:start w:val="1"/>
      <w:numFmt w:val="none"/>
      <w:suff w:val="nothing"/>
      <w:lvlText w:val=""/>
      <w:lvlJc w:val="left"/>
      <w:pPr>
        <w:ind w:left="1872" w:firstLine="0"/>
      </w:pPr>
      <w:rPr>
        <w:color w:val="auto"/>
      </w:rPr>
    </w:lvl>
    <w:lvl w:ilvl="4">
      <w:start w:val="1"/>
      <w:numFmt w:val="none"/>
      <w:suff w:val="nothing"/>
      <w:lvlText w:val=""/>
      <w:lvlJc w:val="left"/>
      <w:pPr>
        <w:ind w:left="720" w:firstLine="0"/>
      </w:pPr>
      <w:rPr>
        <w:color w:val="auto"/>
      </w:rPr>
    </w:lvl>
    <w:lvl w:ilvl="5">
      <w:start w:val="1"/>
      <w:numFmt w:val="none"/>
      <w:suff w:val="nothing"/>
      <w:lvlText w:val=""/>
      <w:lvlJc w:val="left"/>
      <w:pPr>
        <w:ind w:left="720" w:firstLine="0"/>
      </w:pPr>
      <w:rPr>
        <w:color w:val="auto"/>
      </w:rPr>
    </w:lvl>
    <w:lvl w:ilvl="6">
      <w:start w:val="1"/>
      <w:numFmt w:val="none"/>
      <w:suff w:val="nothing"/>
      <w:lvlText w:val=""/>
      <w:lvlJc w:val="left"/>
      <w:pPr>
        <w:ind w:left="720" w:firstLine="0"/>
      </w:pPr>
      <w:rPr>
        <w:color w:val="auto"/>
      </w:rPr>
    </w:lvl>
    <w:lvl w:ilvl="7">
      <w:start w:val="1"/>
      <w:numFmt w:val="none"/>
      <w:suff w:val="nothing"/>
      <w:lvlText w:val=""/>
      <w:lvlJc w:val="left"/>
      <w:pPr>
        <w:ind w:left="720" w:firstLine="0"/>
      </w:pPr>
      <w:rPr>
        <w:color w:val="auto"/>
      </w:rPr>
    </w:lvl>
    <w:lvl w:ilvl="8">
      <w:start w:val="1"/>
      <w:numFmt w:val="none"/>
      <w:suff w:val="nothing"/>
      <w:lvlText w:val=""/>
      <w:lvlJc w:val="left"/>
      <w:pPr>
        <w:ind w:left="720" w:firstLine="0"/>
      </w:pPr>
      <w:rPr>
        <w:color w:val="auto"/>
      </w:rPr>
    </w:lvl>
  </w:abstractNum>
  <w:abstractNum w:abstractNumId="10" w15:restartNumberingAfterBreak="0">
    <w:nsid w:val="0C182D31"/>
    <w:multiLevelType w:val="hybridMultilevel"/>
    <w:tmpl w:val="C44AE3CC"/>
    <w:lvl w:ilvl="0" w:tplc="A6A6B494">
      <w:start w:val="1"/>
      <w:numFmt w:val="bullet"/>
      <w:pStyle w:val="NormalBullet"/>
      <w:lvlText w:val=""/>
      <w:lvlJc w:val="left"/>
      <w:pPr>
        <w:tabs>
          <w:tab w:val="num" w:pos="1429"/>
        </w:tabs>
        <w:ind w:left="1429" w:hanging="709"/>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4C037BD"/>
    <w:multiLevelType w:val="hybridMultilevel"/>
    <w:tmpl w:val="FFB8EE0C"/>
    <w:lvl w:ilvl="0" w:tplc="C72EEDB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53762"/>
    <w:multiLevelType w:val="hybridMultilevel"/>
    <w:tmpl w:val="123E4B24"/>
    <w:lvl w:ilvl="0" w:tplc="C72EEDBC">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2DC17D52"/>
    <w:multiLevelType w:val="multilevel"/>
    <w:tmpl w:val="D1DEEAD0"/>
    <w:lvl w:ilvl="0">
      <w:start w:val="1"/>
      <w:numFmt w:val="decimal"/>
      <w:pStyle w:val="Heading1"/>
      <w:lvlText w:val="%1."/>
      <w:lvlJc w:val="left"/>
      <w:pPr>
        <w:tabs>
          <w:tab w:val="num" w:pos="720"/>
        </w:tabs>
        <w:ind w:left="720" w:hanging="720"/>
      </w:pPr>
    </w:lvl>
    <w:lvl w:ilvl="1">
      <w:start w:val="1"/>
      <w:numFmt w:val="decimal"/>
      <w:pStyle w:val="Heading2"/>
      <w:isLgl/>
      <w:lvlText w:val="%1.%2"/>
      <w:lvlJc w:val="left"/>
      <w:pPr>
        <w:tabs>
          <w:tab w:val="num" w:pos="720"/>
        </w:tabs>
        <w:ind w:left="720" w:hanging="720"/>
      </w:pPr>
      <w:rPr>
        <w:rFonts w:ascii="Arial" w:hAnsi="Arial" w:hint="default"/>
        <w:b w:val="0"/>
        <w:i w:val="0"/>
        <w:sz w:val="22"/>
      </w:rPr>
    </w:lvl>
    <w:lvl w:ilvl="2">
      <w:start w:val="1"/>
      <w:numFmt w:val="decimal"/>
      <w:pStyle w:val="Heading3"/>
      <w:isLgl/>
      <w:lvlText w:val="%1.%2.%3"/>
      <w:lvlJc w:val="left"/>
      <w:pPr>
        <w:tabs>
          <w:tab w:val="num" w:pos="720"/>
        </w:tabs>
        <w:ind w:left="720" w:hanging="720"/>
      </w:pPr>
      <w:rPr>
        <w:rFonts w:ascii="Arial" w:hAnsi="Arial" w:hint="default"/>
        <w:b w:val="0"/>
        <w:i w:val="0"/>
        <w:sz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DFA139C"/>
    <w:multiLevelType w:val="hybridMultilevel"/>
    <w:tmpl w:val="A44220B8"/>
    <w:lvl w:ilvl="0" w:tplc="81EA6AC0">
      <w:start w:val="1"/>
      <w:numFmt w:val="lowerLetter"/>
      <w:pStyle w:val="Style4"/>
      <w:lvlText w:val="%1)"/>
      <w:lvlJc w:val="left"/>
      <w:pPr>
        <w:ind w:left="108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E2F715F"/>
    <w:multiLevelType w:val="hybridMultilevel"/>
    <w:tmpl w:val="1BC0E30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2F446F50"/>
    <w:multiLevelType w:val="hybridMultilevel"/>
    <w:tmpl w:val="F28A5B60"/>
    <w:lvl w:ilvl="0" w:tplc="15E2DF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B5A329E"/>
    <w:multiLevelType w:val="hybridMultilevel"/>
    <w:tmpl w:val="497C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3B1108"/>
    <w:multiLevelType w:val="hybridMultilevel"/>
    <w:tmpl w:val="F89AE0B4"/>
    <w:lvl w:ilvl="0" w:tplc="C72EEDBC">
      <w:numFmt w:val="bullet"/>
      <w:lvlText w:val="-"/>
      <w:lvlJc w:val="left"/>
      <w:pPr>
        <w:ind w:left="1440" w:hanging="360"/>
      </w:pPr>
      <w:rPr>
        <w:rFonts w:ascii="Arial" w:eastAsia="Times New Roman" w:hAnsi="Arial" w:cs="Arial" w:hint="default"/>
      </w:rPr>
    </w:lvl>
    <w:lvl w:ilvl="1" w:tplc="0470B78C">
      <w:numFmt w:val="bullet"/>
      <w:lvlText w:val="•"/>
      <w:lvlJc w:val="left"/>
      <w:pPr>
        <w:ind w:left="2160" w:hanging="36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82D1F33"/>
    <w:multiLevelType w:val="multilevel"/>
    <w:tmpl w:val="819CD84C"/>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rPr>
        <w:rFonts w:ascii="Arial" w:hAnsi="Arial" w:hint="default"/>
        <w:b/>
        <w:i w:val="0"/>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79004F08"/>
    <w:multiLevelType w:val="hybridMultilevel"/>
    <w:tmpl w:val="0F50E614"/>
    <w:lvl w:ilvl="0" w:tplc="C72EEDBC">
      <w:numFmt w:val="bullet"/>
      <w:lvlText w:val="-"/>
      <w:lvlJc w:val="left"/>
      <w:pPr>
        <w:ind w:left="720" w:hanging="360"/>
      </w:pPr>
      <w:rPr>
        <w:rFonts w:ascii="Arial" w:eastAsia="Times New Roman" w:hAnsi="Arial" w:cs="Arial" w:hint="default"/>
      </w:rPr>
    </w:lvl>
    <w:lvl w:ilvl="1" w:tplc="4C442C46">
      <w:start w:val="1"/>
      <w:numFmt w:val="lowerRoman"/>
      <w:pStyle w:val="Style2"/>
      <w:lvlText w:val="%2-"/>
      <w:lvlJc w:val="left"/>
      <w:pPr>
        <w:ind w:left="1440" w:hanging="360"/>
      </w:pPr>
      <w:rPr>
        <w:rFonts w:ascii="Arial" w:eastAsia="Times New Roman" w:hAnsi="Arial"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617437"/>
    <w:multiLevelType w:val="multilevel"/>
    <w:tmpl w:val="3B629670"/>
    <w:lvl w:ilvl="0">
      <w:start w:val="1"/>
      <w:numFmt w:val="decimal"/>
      <w:lvlText w:val="%1."/>
      <w:lvlJc w:val="left"/>
      <w:pPr>
        <w:tabs>
          <w:tab w:val="num" w:pos="720"/>
        </w:tabs>
        <w:ind w:left="720" w:hanging="720"/>
      </w:pPr>
      <w:rPr>
        <w:rFonts w:ascii="Arial" w:hAnsi="Arial" w:hint="default"/>
        <w:b/>
        <w:i w:val="0"/>
        <w:sz w:val="24"/>
        <w:u w:val="none"/>
      </w:rPr>
    </w:lvl>
    <w:lvl w:ilvl="1">
      <w:start w:val="1"/>
      <w:numFmt w:val="decimal"/>
      <w:lvlText w:val="%1.%2."/>
      <w:lvlJc w:val="left"/>
      <w:pPr>
        <w:tabs>
          <w:tab w:val="num" w:pos="720"/>
        </w:tabs>
        <w:ind w:left="720" w:hanging="720"/>
      </w:pPr>
      <w:rPr>
        <w:b/>
        <w:i w:val="0"/>
        <w:u w:val="none"/>
      </w:r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1134"/>
        </w:tabs>
        <w:ind w:left="1134" w:hanging="1134"/>
      </w:pPr>
      <w:rPr>
        <w:u w:val="none"/>
      </w:rPr>
    </w:lvl>
    <w:lvl w:ilvl="4">
      <w:start w:val="1"/>
      <w:numFmt w:val="decimal"/>
      <w:lvlText w:val="%1.%2.%3.%4.%5."/>
      <w:lvlJc w:val="left"/>
      <w:pPr>
        <w:tabs>
          <w:tab w:val="num" w:pos="1134"/>
        </w:tabs>
        <w:ind w:left="1134" w:hanging="1134"/>
      </w:pPr>
      <w:rPr>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C941AB2"/>
    <w:multiLevelType w:val="hybridMultilevel"/>
    <w:tmpl w:val="DCBCBC3A"/>
    <w:lvl w:ilvl="0" w:tplc="C72EEDB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0"/>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7"/>
  </w:num>
  <w:num w:numId="16">
    <w:abstractNumId w:val="22"/>
  </w:num>
  <w:num w:numId="17">
    <w:abstractNumId w:val="12"/>
  </w:num>
  <w:num w:numId="18">
    <w:abstractNumId w:val="18"/>
  </w:num>
  <w:num w:numId="19">
    <w:abstractNumId w:val="11"/>
  </w:num>
  <w:num w:numId="20">
    <w:abstractNumId w:val="20"/>
  </w:num>
  <w:num w:numId="21">
    <w:abstractNumId w:val="14"/>
  </w:num>
  <w:num w:numId="22">
    <w:abstractNumId w:val="14"/>
    <w:lvlOverride w:ilvl="0">
      <w:startOverride w:val="1"/>
    </w:lvlOverride>
  </w:num>
  <w:num w:numId="23">
    <w:abstractNumId w:val="14"/>
    <w:lvlOverride w:ilvl="0">
      <w:startOverride w:val="1"/>
    </w:lvlOverride>
  </w:num>
  <w:num w:numId="24">
    <w:abstractNumId w:val="16"/>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4"/>
    <w:lvlOverride w:ilvl="0">
      <w:startOverride w:val="1"/>
    </w:lvlOverride>
  </w:num>
  <w:num w:numId="37">
    <w:abstractNumId w:val="14"/>
    <w:lvlOverride w:ilvl="0">
      <w:startOverride w:val="1"/>
    </w:lvlOverride>
  </w:num>
  <w:num w:numId="38">
    <w:abstractNumId w:val="14"/>
    <w:lvlOverride w:ilvl="0">
      <w:startOverride w:val="1"/>
    </w:lvlOverride>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4"/>
    <w:lvlOverride w:ilvl="0">
      <w:startOverride w:val="1"/>
    </w:lvlOverride>
  </w:num>
  <w:num w:numId="44">
    <w:abstractNumId w:val="14"/>
    <w:lvlOverride w:ilvl="0">
      <w:startOverride w:val="1"/>
    </w:lvlOverride>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0B"/>
    <w:rsid w:val="000113F5"/>
    <w:rsid w:val="00015570"/>
    <w:rsid w:val="00020197"/>
    <w:rsid w:val="00030BA3"/>
    <w:rsid w:val="00063A15"/>
    <w:rsid w:val="00064F01"/>
    <w:rsid w:val="00080FDE"/>
    <w:rsid w:val="00094230"/>
    <w:rsid w:val="000A315D"/>
    <w:rsid w:val="000C6DA8"/>
    <w:rsid w:val="000D4714"/>
    <w:rsid w:val="000E745F"/>
    <w:rsid w:val="000F030F"/>
    <w:rsid w:val="000F4AF2"/>
    <w:rsid w:val="001050DE"/>
    <w:rsid w:val="00157796"/>
    <w:rsid w:val="00165FF6"/>
    <w:rsid w:val="00170393"/>
    <w:rsid w:val="001842EB"/>
    <w:rsid w:val="00192AD1"/>
    <w:rsid w:val="001A237D"/>
    <w:rsid w:val="001A381D"/>
    <w:rsid w:val="001A791C"/>
    <w:rsid w:val="001B06AD"/>
    <w:rsid w:val="001B4967"/>
    <w:rsid w:val="001B4CEA"/>
    <w:rsid w:val="001C0629"/>
    <w:rsid w:val="001D7E4A"/>
    <w:rsid w:val="001E6037"/>
    <w:rsid w:val="001F133D"/>
    <w:rsid w:val="002023E4"/>
    <w:rsid w:val="00212A78"/>
    <w:rsid w:val="002230DF"/>
    <w:rsid w:val="00243162"/>
    <w:rsid w:val="00244CA1"/>
    <w:rsid w:val="00272084"/>
    <w:rsid w:val="00272E89"/>
    <w:rsid w:val="00297E25"/>
    <w:rsid w:val="002B218A"/>
    <w:rsid w:val="002B5FFE"/>
    <w:rsid w:val="002C7D53"/>
    <w:rsid w:val="002F63CB"/>
    <w:rsid w:val="003014BA"/>
    <w:rsid w:val="00305A90"/>
    <w:rsid w:val="0031751A"/>
    <w:rsid w:val="00325313"/>
    <w:rsid w:val="00330F65"/>
    <w:rsid w:val="00337CC9"/>
    <w:rsid w:val="00343F26"/>
    <w:rsid w:val="00347E9D"/>
    <w:rsid w:val="00364067"/>
    <w:rsid w:val="003753EE"/>
    <w:rsid w:val="00390E15"/>
    <w:rsid w:val="00395BD9"/>
    <w:rsid w:val="003B1D99"/>
    <w:rsid w:val="003B2345"/>
    <w:rsid w:val="003C1AF0"/>
    <w:rsid w:val="003D1E56"/>
    <w:rsid w:val="003E35CD"/>
    <w:rsid w:val="003F5FC6"/>
    <w:rsid w:val="004063D4"/>
    <w:rsid w:val="00450122"/>
    <w:rsid w:val="00470FA2"/>
    <w:rsid w:val="00481164"/>
    <w:rsid w:val="004826F3"/>
    <w:rsid w:val="004870AF"/>
    <w:rsid w:val="004A05A2"/>
    <w:rsid w:val="004A2BBB"/>
    <w:rsid w:val="004C74E1"/>
    <w:rsid w:val="004D1A6F"/>
    <w:rsid w:val="0051181D"/>
    <w:rsid w:val="005159CE"/>
    <w:rsid w:val="00525DCF"/>
    <w:rsid w:val="0053679F"/>
    <w:rsid w:val="00540758"/>
    <w:rsid w:val="005707C2"/>
    <w:rsid w:val="00574D83"/>
    <w:rsid w:val="005A1E82"/>
    <w:rsid w:val="005A406D"/>
    <w:rsid w:val="005B0479"/>
    <w:rsid w:val="005C0616"/>
    <w:rsid w:val="005C3223"/>
    <w:rsid w:val="005C46BB"/>
    <w:rsid w:val="005C7A0A"/>
    <w:rsid w:val="005D14DC"/>
    <w:rsid w:val="006058B6"/>
    <w:rsid w:val="0060777F"/>
    <w:rsid w:val="00643C78"/>
    <w:rsid w:val="0064579C"/>
    <w:rsid w:val="006520A6"/>
    <w:rsid w:val="00666DF3"/>
    <w:rsid w:val="00673983"/>
    <w:rsid w:val="00684378"/>
    <w:rsid w:val="00695023"/>
    <w:rsid w:val="006A2FF1"/>
    <w:rsid w:val="006D71DC"/>
    <w:rsid w:val="006E651B"/>
    <w:rsid w:val="006F742E"/>
    <w:rsid w:val="00734C31"/>
    <w:rsid w:val="00736AA4"/>
    <w:rsid w:val="007420AE"/>
    <w:rsid w:val="007443D0"/>
    <w:rsid w:val="00755BD7"/>
    <w:rsid w:val="0077094C"/>
    <w:rsid w:val="007714D6"/>
    <w:rsid w:val="0079114F"/>
    <w:rsid w:val="007B55BA"/>
    <w:rsid w:val="007B7645"/>
    <w:rsid w:val="007C63C3"/>
    <w:rsid w:val="007E4549"/>
    <w:rsid w:val="007E6DA4"/>
    <w:rsid w:val="007F5504"/>
    <w:rsid w:val="008152A2"/>
    <w:rsid w:val="00823A6E"/>
    <w:rsid w:val="00844DC7"/>
    <w:rsid w:val="00865221"/>
    <w:rsid w:val="00873F04"/>
    <w:rsid w:val="008860AE"/>
    <w:rsid w:val="00891ADB"/>
    <w:rsid w:val="00896D0E"/>
    <w:rsid w:val="008D549E"/>
    <w:rsid w:val="008D58AE"/>
    <w:rsid w:val="008D5ABE"/>
    <w:rsid w:val="008E53DC"/>
    <w:rsid w:val="008F464A"/>
    <w:rsid w:val="00904380"/>
    <w:rsid w:val="00905918"/>
    <w:rsid w:val="00916AA0"/>
    <w:rsid w:val="00916C36"/>
    <w:rsid w:val="009206D5"/>
    <w:rsid w:val="00925D62"/>
    <w:rsid w:val="009264AF"/>
    <w:rsid w:val="0093334D"/>
    <w:rsid w:val="00936A1F"/>
    <w:rsid w:val="0096621B"/>
    <w:rsid w:val="009722BB"/>
    <w:rsid w:val="009A51F1"/>
    <w:rsid w:val="009B79F6"/>
    <w:rsid w:val="009B7F57"/>
    <w:rsid w:val="009F591A"/>
    <w:rsid w:val="009F6C69"/>
    <w:rsid w:val="00A243A2"/>
    <w:rsid w:val="00A45EBE"/>
    <w:rsid w:val="00A64DCC"/>
    <w:rsid w:val="00A7304C"/>
    <w:rsid w:val="00AB1401"/>
    <w:rsid w:val="00AB283A"/>
    <w:rsid w:val="00AC3452"/>
    <w:rsid w:val="00AC5266"/>
    <w:rsid w:val="00AF6C07"/>
    <w:rsid w:val="00B139C8"/>
    <w:rsid w:val="00B26E0B"/>
    <w:rsid w:val="00B45501"/>
    <w:rsid w:val="00B71585"/>
    <w:rsid w:val="00B84E30"/>
    <w:rsid w:val="00B86289"/>
    <w:rsid w:val="00BA7934"/>
    <w:rsid w:val="00BB698F"/>
    <w:rsid w:val="00BC7D31"/>
    <w:rsid w:val="00BD212F"/>
    <w:rsid w:val="00BF12E4"/>
    <w:rsid w:val="00C03AF1"/>
    <w:rsid w:val="00C07F33"/>
    <w:rsid w:val="00C4546E"/>
    <w:rsid w:val="00C550DE"/>
    <w:rsid w:val="00C613DD"/>
    <w:rsid w:val="00C70028"/>
    <w:rsid w:val="00C70600"/>
    <w:rsid w:val="00C70A8F"/>
    <w:rsid w:val="00C90953"/>
    <w:rsid w:val="00C95AA5"/>
    <w:rsid w:val="00CA0E5E"/>
    <w:rsid w:val="00CA3EC3"/>
    <w:rsid w:val="00CC77D9"/>
    <w:rsid w:val="00CE6E83"/>
    <w:rsid w:val="00D01BC7"/>
    <w:rsid w:val="00D039E2"/>
    <w:rsid w:val="00D13B11"/>
    <w:rsid w:val="00D36B89"/>
    <w:rsid w:val="00D442BF"/>
    <w:rsid w:val="00D70D03"/>
    <w:rsid w:val="00D8248C"/>
    <w:rsid w:val="00D870BE"/>
    <w:rsid w:val="00D97D07"/>
    <w:rsid w:val="00DB71C4"/>
    <w:rsid w:val="00DD0BE7"/>
    <w:rsid w:val="00DD27D8"/>
    <w:rsid w:val="00DD31A8"/>
    <w:rsid w:val="00DD4773"/>
    <w:rsid w:val="00E33A80"/>
    <w:rsid w:val="00E618FC"/>
    <w:rsid w:val="00E742B1"/>
    <w:rsid w:val="00E91F20"/>
    <w:rsid w:val="00EB5F2C"/>
    <w:rsid w:val="00EC260F"/>
    <w:rsid w:val="00ED047B"/>
    <w:rsid w:val="00EF45AE"/>
    <w:rsid w:val="00F057B9"/>
    <w:rsid w:val="00F11349"/>
    <w:rsid w:val="00F1574C"/>
    <w:rsid w:val="00F31E32"/>
    <w:rsid w:val="00F4520B"/>
    <w:rsid w:val="00F4707C"/>
    <w:rsid w:val="00F61456"/>
    <w:rsid w:val="00F7335D"/>
    <w:rsid w:val="00F7726D"/>
    <w:rsid w:val="00F94A1C"/>
    <w:rsid w:val="00F97FB2"/>
    <w:rsid w:val="00FB1E2B"/>
    <w:rsid w:val="00FB3008"/>
    <w:rsid w:val="00FC64AE"/>
    <w:rsid w:val="00FD6E8F"/>
    <w:rsid w:val="00FE1A32"/>
    <w:rsid w:val="00FF3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C88D06"/>
  <w15:chartTrackingRefBased/>
  <w15:docId w15:val="{7D88ED5F-D815-4055-B044-757DACC9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CEA"/>
    <w:pPr>
      <w:spacing w:after="120"/>
    </w:pPr>
    <w:rPr>
      <w:rFonts w:ascii="Arial" w:eastAsia="Times New Roman" w:hAnsi="Arial"/>
      <w:sz w:val="22"/>
      <w:lang w:eastAsia="en-US"/>
    </w:rPr>
  </w:style>
  <w:style w:type="paragraph" w:styleId="Heading1">
    <w:name w:val="heading 1"/>
    <w:aliases w:val="ORB Heading 1 (Numbered)"/>
    <w:basedOn w:val="Normal"/>
    <w:next w:val="NormalIndent"/>
    <w:link w:val="Heading1Char"/>
    <w:qFormat/>
    <w:rsid w:val="00B26E0B"/>
    <w:pPr>
      <w:keepNext/>
      <w:numPr>
        <w:numId w:val="1"/>
      </w:numPr>
      <w:spacing w:before="240"/>
      <w:outlineLvl w:val="0"/>
    </w:pPr>
    <w:rPr>
      <w:b/>
      <w:caps/>
      <w:kern w:val="28"/>
      <w:sz w:val="24"/>
    </w:rPr>
  </w:style>
  <w:style w:type="paragraph" w:styleId="Heading2">
    <w:name w:val="heading 2"/>
    <w:aliases w:val="ORB Heading 2 (Numbered)"/>
    <w:basedOn w:val="Normal"/>
    <w:next w:val="NormalIndent"/>
    <w:link w:val="Heading2Char"/>
    <w:qFormat/>
    <w:rsid w:val="00B26E0B"/>
    <w:pPr>
      <w:keepNext/>
      <w:numPr>
        <w:ilvl w:val="1"/>
        <w:numId w:val="1"/>
      </w:numPr>
      <w:spacing w:before="240" w:after="60"/>
      <w:jc w:val="both"/>
      <w:outlineLvl w:val="1"/>
    </w:pPr>
    <w:rPr>
      <w:b/>
    </w:rPr>
  </w:style>
  <w:style w:type="paragraph" w:styleId="Heading3">
    <w:name w:val="heading 3"/>
    <w:basedOn w:val="Normal"/>
    <w:next w:val="NormalIndent"/>
    <w:link w:val="Heading3Char"/>
    <w:qFormat/>
    <w:rsid w:val="00B26E0B"/>
    <w:pPr>
      <w:numPr>
        <w:ilvl w:val="2"/>
        <w:numId w:val="1"/>
      </w:numPr>
      <w:spacing w:before="240" w:after="60"/>
      <w:jc w:val="both"/>
      <w:outlineLvl w:val="2"/>
    </w:pPr>
  </w:style>
  <w:style w:type="paragraph" w:styleId="Heading4">
    <w:name w:val="heading 4"/>
    <w:basedOn w:val="Normal"/>
    <w:next w:val="Normal"/>
    <w:link w:val="Heading4Char"/>
    <w:uiPriority w:val="9"/>
    <w:semiHidden/>
    <w:unhideWhenUsed/>
    <w:qFormat/>
    <w:rsid w:val="0051181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rsid w:val="00B26E0B"/>
    <w:pPr>
      <w:ind w:left="720"/>
      <w:jc w:val="both"/>
    </w:pPr>
  </w:style>
  <w:style w:type="character" w:customStyle="1" w:styleId="NormalIndentChar">
    <w:name w:val="Normal Indent Char"/>
    <w:basedOn w:val="DefaultParagraphFont"/>
    <w:link w:val="NormalIndent"/>
    <w:rsid w:val="00094230"/>
    <w:rPr>
      <w:rFonts w:ascii="Arial" w:eastAsia="Times New Roman" w:hAnsi="Arial"/>
      <w:sz w:val="22"/>
      <w:lang w:eastAsia="en-US"/>
    </w:rPr>
  </w:style>
  <w:style w:type="character" w:customStyle="1" w:styleId="Heading1Char">
    <w:name w:val="Heading 1 Char"/>
    <w:aliases w:val="ORB Heading 1 (Numbered) Char"/>
    <w:basedOn w:val="DefaultParagraphFont"/>
    <w:link w:val="Heading1"/>
    <w:rsid w:val="00B26E0B"/>
    <w:rPr>
      <w:rFonts w:ascii="Arial" w:eastAsia="Times New Roman" w:hAnsi="Arial" w:cs="Times New Roman"/>
      <w:b/>
      <w:caps/>
      <w:kern w:val="28"/>
      <w:sz w:val="24"/>
      <w:szCs w:val="20"/>
    </w:rPr>
  </w:style>
  <w:style w:type="character" w:customStyle="1" w:styleId="Heading2Char">
    <w:name w:val="Heading 2 Char"/>
    <w:aliases w:val="ORB Heading 2 (Numbered) Char"/>
    <w:basedOn w:val="DefaultParagraphFont"/>
    <w:link w:val="Heading2"/>
    <w:rsid w:val="00B26E0B"/>
    <w:rPr>
      <w:rFonts w:ascii="Arial" w:eastAsia="Times New Roman" w:hAnsi="Arial" w:cs="Times New Roman"/>
      <w:b/>
      <w:szCs w:val="20"/>
    </w:rPr>
  </w:style>
  <w:style w:type="character" w:customStyle="1" w:styleId="Heading3Char">
    <w:name w:val="Heading 3 Char"/>
    <w:basedOn w:val="DefaultParagraphFont"/>
    <w:link w:val="Heading3"/>
    <w:rsid w:val="00B26E0B"/>
    <w:rPr>
      <w:rFonts w:ascii="Arial" w:eastAsia="Times New Roman" w:hAnsi="Arial" w:cs="Times New Roman"/>
      <w:szCs w:val="20"/>
    </w:rPr>
  </w:style>
  <w:style w:type="character" w:customStyle="1" w:styleId="Heading4Char">
    <w:name w:val="Heading 4 Char"/>
    <w:basedOn w:val="DefaultParagraphFont"/>
    <w:link w:val="Heading4"/>
    <w:uiPriority w:val="9"/>
    <w:semiHidden/>
    <w:rsid w:val="0051181D"/>
    <w:rPr>
      <w:rFonts w:ascii="Calibri" w:eastAsia="Times New Roman" w:hAnsi="Calibri" w:cs="Times New Roman"/>
      <w:b/>
      <w:bCs/>
      <w:sz w:val="28"/>
      <w:szCs w:val="28"/>
      <w:lang w:eastAsia="en-US"/>
    </w:rPr>
  </w:style>
  <w:style w:type="paragraph" w:styleId="CommentText">
    <w:name w:val="annotation text"/>
    <w:basedOn w:val="Normal"/>
    <w:link w:val="CommentTextChar"/>
    <w:semiHidden/>
    <w:rsid w:val="00B26E0B"/>
    <w:pPr>
      <w:widowControl w:val="0"/>
      <w:spacing w:after="0"/>
    </w:pPr>
    <w:rPr>
      <w:sz w:val="20"/>
      <w:lang w:val="en-US"/>
    </w:rPr>
  </w:style>
  <w:style w:type="character" w:customStyle="1" w:styleId="CommentTextChar">
    <w:name w:val="Comment Text Char"/>
    <w:basedOn w:val="DefaultParagraphFont"/>
    <w:link w:val="CommentText"/>
    <w:semiHidden/>
    <w:rsid w:val="00B26E0B"/>
    <w:rPr>
      <w:rFonts w:ascii="Arial" w:eastAsia="Times New Roman" w:hAnsi="Arial" w:cs="Times New Roman"/>
      <w:sz w:val="20"/>
      <w:szCs w:val="20"/>
      <w:lang w:val="en-US"/>
    </w:rPr>
  </w:style>
  <w:style w:type="paragraph" w:customStyle="1" w:styleId="NormalBullet">
    <w:name w:val="Normal Bullet"/>
    <w:basedOn w:val="NormalIndent"/>
    <w:rsid w:val="00B26E0B"/>
    <w:pPr>
      <w:numPr>
        <w:numId w:val="2"/>
      </w:numPr>
    </w:pPr>
  </w:style>
  <w:style w:type="paragraph" w:customStyle="1" w:styleId="TableText">
    <w:name w:val="Table Text"/>
    <w:basedOn w:val="Normal"/>
    <w:rsid w:val="00B26E0B"/>
    <w:pPr>
      <w:spacing w:before="40" w:after="40"/>
    </w:pPr>
    <w:rPr>
      <w:b/>
      <w:szCs w:val="22"/>
    </w:rPr>
  </w:style>
  <w:style w:type="paragraph" w:styleId="Footer">
    <w:name w:val="footer"/>
    <w:basedOn w:val="Normal"/>
    <w:link w:val="FooterChar"/>
    <w:semiHidden/>
    <w:rsid w:val="00F11349"/>
    <w:pPr>
      <w:tabs>
        <w:tab w:val="center" w:pos="4153"/>
        <w:tab w:val="right" w:pos="8306"/>
      </w:tabs>
      <w:spacing w:after="0"/>
    </w:pPr>
  </w:style>
  <w:style w:type="character" w:customStyle="1" w:styleId="FooterChar">
    <w:name w:val="Footer Char"/>
    <w:basedOn w:val="DefaultParagraphFont"/>
    <w:link w:val="Footer"/>
    <w:semiHidden/>
    <w:rsid w:val="00F11349"/>
    <w:rPr>
      <w:rFonts w:ascii="Arial" w:eastAsia="Times New Roman" w:hAnsi="Arial"/>
      <w:sz w:val="22"/>
      <w:lang w:eastAsia="en-US"/>
    </w:rPr>
  </w:style>
  <w:style w:type="character" w:styleId="Hyperlink">
    <w:name w:val="Hyperlink"/>
    <w:basedOn w:val="DefaultParagraphFont"/>
    <w:uiPriority w:val="99"/>
    <w:rsid w:val="00F11349"/>
    <w:rPr>
      <w:color w:val="0000FF"/>
      <w:u w:val="single"/>
    </w:rPr>
  </w:style>
  <w:style w:type="paragraph" w:styleId="TOC1">
    <w:name w:val="toc 1"/>
    <w:basedOn w:val="Normal"/>
    <w:next w:val="Normal"/>
    <w:autoRedefine/>
    <w:uiPriority w:val="39"/>
    <w:rsid w:val="00F11349"/>
    <w:pPr>
      <w:tabs>
        <w:tab w:val="left" w:pos="480"/>
        <w:tab w:val="right" w:leader="dot" w:pos="9548"/>
      </w:tabs>
      <w:spacing w:before="40" w:after="40"/>
    </w:pPr>
    <w:rPr>
      <w:caps/>
      <w:sz w:val="24"/>
    </w:rPr>
  </w:style>
  <w:style w:type="paragraph" w:styleId="Header">
    <w:name w:val="header"/>
    <w:basedOn w:val="Normal"/>
    <w:link w:val="HeaderChar"/>
    <w:unhideWhenUsed/>
    <w:rsid w:val="00F11349"/>
    <w:pPr>
      <w:tabs>
        <w:tab w:val="center" w:pos="4513"/>
        <w:tab w:val="right" w:pos="9026"/>
      </w:tabs>
    </w:pPr>
  </w:style>
  <w:style w:type="character" w:customStyle="1" w:styleId="HeaderChar">
    <w:name w:val="Header Char"/>
    <w:basedOn w:val="DefaultParagraphFont"/>
    <w:link w:val="Header"/>
    <w:uiPriority w:val="99"/>
    <w:rsid w:val="00F11349"/>
    <w:rPr>
      <w:rFonts w:ascii="Arial" w:eastAsia="Times New Roman" w:hAnsi="Arial"/>
      <w:sz w:val="22"/>
      <w:lang w:eastAsia="en-US"/>
    </w:rPr>
  </w:style>
  <w:style w:type="paragraph" w:styleId="TOC9">
    <w:name w:val="toc 9"/>
    <w:basedOn w:val="Normal"/>
    <w:next w:val="Normal"/>
    <w:autoRedefine/>
    <w:uiPriority w:val="39"/>
    <w:rsid w:val="001B4CEA"/>
    <w:pPr>
      <w:spacing w:after="0"/>
      <w:ind w:left="1760"/>
    </w:pPr>
  </w:style>
  <w:style w:type="character" w:styleId="PageNumber">
    <w:name w:val="page number"/>
    <w:basedOn w:val="DefaultParagraphFont"/>
    <w:semiHidden/>
    <w:rsid w:val="00347E9D"/>
  </w:style>
  <w:style w:type="character" w:styleId="CommentReference">
    <w:name w:val="annotation reference"/>
    <w:basedOn w:val="DefaultParagraphFont"/>
    <w:uiPriority w:val="99"/>
    <w:semiHidden/>
    <w:unhideWhenUsed/>
    <w:rsid w:val="007B55BA"/>
    <w:rPr>
      <w:sz w:val="18"/>
      <w:szCs w:val="18"/>
    </w:rPr>
  </w:style>
  <w:style w:type="paragraph" w:styleId="CommentSubject">
    <w:name w:val="annotation subject"/>
    <w:basedOn w:val="CommentText"/>
    <w:next w:val="CommentText"/>
    <w:link w:val="CommentSubjectChar"/>
    <w:uiPriority w:val="99"/>
    <w:semiHidden/>
    <w:unhideWhenUsed/>
    <w:rsid w:val="007B55BA"/>
    <w:pPr>
      <w:widowControl/>
      <w:spacing w:after="120"/>
    </w:pPr>
    <w:rPr>
      <w:b/>
      <w:bCs/>
      <w:lang w:val="en-GB"/>
    </w:rPr>
  </w:style>
  <w:style w:type="character" w:customStyle="1" w:styleId="CommentSubjectChar">
    <w:name w:val="Comment Subject Char"/>
    <w:basedOn w:val="CommentTextChar"/>
    <w:link w:val="CommentSubject"/>
    <w:uiPriority w:val="99"/>
    <w:semiHidden/>
    <w:rsid w:val="007B55BA"/>
    <w:rPr>
      <w:rFonts w:ascii="Arial" w:eastAsia="Times New Roman" w:hAnsi="Arial" w:cs="Times New Roman"/>
      <w:b/>
      <w:bCs/>
      <w:sz w:val="20"/>
      <w:szCs w:val="20"/>
      <w:lang w:val="en-US" w:eastAsia="en-US"/>
    </w:rPr>
  </w:style>
  <w:style w:type="paragraph" w:styleId="BalloonText">
    <w:name w:val="Balloon Text"/>
    <w:basedOn w:val="Normal"/>
    <w:link w:val="BalloonTextChar"/>
    <w:uiPriority w:val="99"/>
    <w:semiHidden/>
    <w:unhideWhenUsed/>
    <w:rsid w:val="007B55BA"/>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B55BA"/>
    <w:rPr>
      <w:rFonts w:ascii="Times New Roman" w:eastAsia="Times New Roman" w:hAnsi="Times New Roman"/>
      <w:sz w:val="18"/>
      <w:szCs w:val="18"/>
      <w:lang w:eastAsia="en-US"/>
    </w:rPr>
  </w:style>
  <w:style w:type="paragraph" w:styleId="ListParagraph">
    <w:name w:val="List Paragraph"/>
    <w:basedOn w:val="Normal"/>
    <w:uiPriority w:val="99"/>
    <w:qFormat/>
    <w:rsid w:val="00916AA0"/>
    <w:pPr>
      <w:ind w:left="720"/>
      <w:contextualSpacing/>
    </w:pPr>
  </w:style>
  <w:style w:type="character" w:styleId="FollowedHyperlink">
    <w:name w:val="FollowedHyperlink"/>
    <w:basedOn w:val="DefaultParagraphFont"/>
    <w:uiPriority w:val="99"/>
    <w:semiHidden/>
    <w:unhideWhenUsed/>
    <w:rsid w:val="00F97FB2"/>
    <w:rPr>
      <w:color w:val="954F72" w:themeColor="followedHyperlink"/>
      <w:u w:val="single"/>
    </w:rPr>
  </w:style>
  <w:style w:type="character" w:styleId="Strong">
    <w:name w:val="Strong"/>
    <w:basedOn w:val="DefaultParagraphFont"/>
    <w:uiPriority w:val="22"/>
    <w:qFormat/>
    <w:rsid w:val="005C7A0A"/>
    <w:rPr>
      <w:b/>
      <w:bCs/>
    </w:rPr>
  </w:style>
  <w:style w:type="paragraph" w:customStyle="1" w:styleId="Style1">
    <w:name w:val="Style1"/>
    <w:basedOn w:val="Heading2"/>
    <w:link w:val="Style1Char"/>
    <w:qFormat/>
    <w:rsid w:val="00F31E32"/>
    <w:rPr>
      <w:b w:val="0"/>
    </w:rPr>
  </w:style>
  <w:style w:type="character" w:customStyle="1" w:styleId="Style1Char">
    <w:name w:val="Style1 Char"/>
    <w:basedOn w:val="Heading2Char"/>
    <w:link w:val="Style1"/>
    <w:rsid w:val="00F31E32"/>
    <w:rPr>
      <w:rFonts w:ascii="Arial" w:eastAsia="Times New Roman" w:hAnsi="Arial" w:cs="Times New Roman"/>
      <w:b w:val="0"/>
      <w:sz w:val="22"/>
      <w:szCs w:val="20"/>
      <w:lang w:eastAsia="en-US"/>
    </w:rPr>
  </w:style>
  <w:style w:type="paragraph" w:customStyle="1" w:styleId="Style3">
    <w:name w:val="Style3"/>
    <w:basedOn w:val="Heading2"/>
    <w:link w:val="Style3Char"/>
    <w:qFormat/>
    <w:rsid w:val="00F31E32"/>
    <w:rPr>
      <w:b w:val="0"/>
    </w:rPr>
  </w:style>
  <w:style w:type="character" w:customStyle="1" w:styleId="Style3Char">
    <w:name w:val="Style3 Char"/>
    <w:basedOn w:val="DefaultParagraphFont"/>
    <w:link w:val="Style3"/>
    <w:rsid w:val="00F31E32"/>
    <w:rPr>
      <w:rFonts w:ascii="Arial" w:eastAsia="Times New Roman" w:hAnsi="Arial"/>
      <w:sz w:val="22"/>
      <w:lang w:eastAsia="en-US"/>
    </w:rPr>
  </w:style>
  <w:style w:type="paragraph" w:customStyle="1" w:styleId="Style4">
    <w:name w:val="Style4"/>
    <w:basedOn w:val="Style3"/>
    <w:link w:val="Style4Char"/>
    <w:qFormat/>
    <w:rsid w:val="00F31E32"/>
    <w:pPr>
      <w:numPr>
        <w:ilvl w:val="0"/>
        <w:numId w:val="21"/>
      </w:numPr>
    </w:pPr>
  </w:style>
  <w:style w:type="character" w:customStyle="1" w:styleId="Style4Char">
    <w:name w:val="Style4 Char"/>
    <w:basedOn w:val="Style3Char"/>
    <w:link w:val="Style4"/>
    <w:rsid w:val="00F31E32"/>
    <w:rPr>
      <w:rFonts w:ascii="Arial" w:eastAsia="Times New Roman" w:hAnsi="Arial"/>
      <w:sz w:val="22"/>
      <w:lang w:eastAsia="en-US"/>
    </w:rPr>
  </w:style>
  <w:style w:type="paragraph" w:customStyle="1" w:styleId="Style2">
    <w:name w:val="Style2"/>
    <w:basedOn w:val="NormalIndent"/>
    <w:link w:val="Style2Char"/>
    <w:qFormat/>
    <w:rsid w:val="00094230"/>
    <w:pPr>
      <w:numPr>
        <w:ilvl w:val="1"/>
        <w:numId w:val="20"/>
      </w:numPr>
      <w:spacing w:after="0"/>
      <w:ind w:hanging="306"/>
    </w:pPr>
  </w:style>
  <w:style w:type="character" w:customStyle="1" w:styleId="Style2Char">
    <w:name w:val="Style2 Char"/>
    <w:basedOn w:val="NormalIndentChar"/>
    <w:link w:val="Style2"/>
    <w:rsid w:val="00094230"/>
    <w:rPr>
      <w:rFonts w:ascii="Arial" w:eastAsia="Times New Roman" w:hAnsi="Arial"/>
      <w:sz w:val="22"/>
      <w:lang w:eastAsia="en-US"/>
    </w:rPr>
  </w:style>
  <w:style w:type="paragraph" w:styleId="TOCHeading">
    <w:name w:val="TOC Heading"/>
    <w:basedOn w:val="Heading1"/>
    <w:next w:val="Normal"/>
    <w:uiPriority w:val="39"/>
    <w:unhideWhenUsed/>
    <w:qFormat/>
    <w:rsid w:val="00343F26"/>
    <w:pPr>
      <w:keepLines/>
      <w:numPr>
        <w:numId w:val="0"/>
      </w:numPr>
      <w:spacing w:after="0" w:line="259" w:lineRule="auto"/>
      <w:outlineLvl w:val="9"/>
    </w:pPr>
    <w:rPr>
      <w:rFonts w:asciiTheme="majorHAnsi" w:eastAsiaTheme="majorEastAsia" w:hAnsiTheme="majorHAnsi" w:cstheme="majorBidi"/>
      <w:b w:val="0"/>
      <w:caps w:val="0"/>
      <w:color w:val="2E74B5" w:themeColor="accent1" w:themeShade="BF"/>
      <w:kern w:val="0"/>
      <w:sz w:val="32"/>
      <w:szCs w:val="32"/>
      <w:lang w:val="en-US"/>
    </w:rPr>
  </w:style>
  <w:style w:type="paragraph" w:styleId="TOC2">
    <w:name w:val="toc 2"/>
    <w:basedOn w:val="Normal"/>
    <w:next w:val="Normal"/>
    <w:autoRedefine/>
    <w:uiPriority w:val="39"/>
    <w:unhideWhenUsed/>
    <w:rsid w:val="00343F26"/>
    <w:pPr>
      <w:spacing w:after="100"/>
      <w:ind w:left="220"/>
    </w:pPr>
  </w:style>
  <w:style w:type="paragraph" w:styleId="TOC3">
    <w:name w:val="toc 3"/>
    <w:basedOn w:val="Normal"/>
    <w:next w:val="Normal"/>
    <w:autoRedefine/>
    <w:uiPriority w:val="39"/>
    <w:unhideWhenUsed/>
    <w:rsid w:val="00343F26"/>
    <w:pPr>
      <w:spacing w:after="100"/>
      <w:ind w:left="440"/>
    </w:pPr>
  </w:style>
  <w:style w:type="table" w:styleId="TableGrid">
    <w:name w:val="Table Grid"/>
    <w:basedOn w:val="TableNormal"/>
    <w:uiPriority w:val="59"/>
    <w:rsid w:val="00DD2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4549"/>
    <w:rPr>
      <w:rFonts w:ascii="Arial" w:eastAsia="Times New Roman"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25602">
      <w:bodyDiv w:val="1"/>
      <w:marLeft w:val="0"/>
      <w:marRight w:val="0"/>
      <w:marTop w:val="0"/>
      <w:marBottom w:val="0"/>
      <w:divBdr>
        <w:top w:val="none" w:sz="0" w:space="0" w:color="auto"/>
        <w:left w:val="none" w:sz="0" w:space="0" w:color="auto"/>
        <w:bottom w:val="none" w:sz="0" w:space="0" w:color="auto"/>
        <w:right w:val="none" w:sz="0" w:space="0" w:color="auto"/>
      </w:divBdr>
      <w:divsChild>
        <w:div w:id="1546524329">
          <w:marLeft w:val="0"/>
          <w:marRight w:val="0"/>
          <w:marTop w:val="0"/>
          <w:marBottom w:val="0"/>
          <w:divBdr>
            <w:top w:val="none" w:sz="0" w:space="0" w:color="auto"/>
            <w:left w:val="none" w:sz="0" w:space="0" w:color="auto"/>
            <w:bottom w:val="none" w:sz="0" w:space="0" w:color="auto"/>
            <w:right w:val="none" w:sz="0" w:space="0" w:color="auto"/>
          </w:divBdr>
        </w:div>
        <w:div w:id="1658990940">
          <w:marLeft w:val="0"/>
          <w:marRight w:val="0"/>
          <w:marTop w:val="0"/>
          <w:marBottom w:val="0"/>
          <w:divBdr>
            <w:top w:val="none" w:sz="0" w:space="0" w:color="auto"/>
            <w:left w:val="none" w:sz="0" w:space="0" w:color="auto"/>
            <w:bottom w:val="none" w:sz="0" w:space="0" w:color="auto"/>
            <w:right w:val="none" w:sz="0" w:space="0" w:color="auto"/>
          </w:divBdr>
        </w:div>
        <w:div w:id="984630442">
          <w:marLeft w:val="0"/>
          <w:marRight w:val="0"/>
          <w:marTop w:val="0"/>
          <w:marBottom w:val="0"/>
          <w:divBdr>
            <w:top w:val="none" w:sz="0" w:space="0" w:color="auto"/>
            <w:left w:val="none" w:sz="0" w:space="0" w:color="auto"/>
            <w:bottom w:val="none" w:sz="0" w:space="0" w:color="auto"/>
            <w:right w:val="none" w:sz="0" w:space="0" w:color="auto"/>
          </w:divBdr>
        </w:div>
        <w:div w:id="1211844274">
          <w:marLeft w:val="0"/>
          <w:marRight w:val="0"/>
          <w:marTop w:val="0"/>
          <w:marBottom w:val="0"/>
          <w:divBdr>
            <w:top w:val="none" w:sz="0" w:space="0" w:color="auto"/>
            <w:left w:val="none" w:sz="0" w:space="0" w:color="auto"/>
            <w:bottom w:val="none" w:sz="0" w:space="0" w:color="auto"/>
            <w:right w:val="none" w:sz="0" w:space="0" w:color="auto"/>
          </w:divBdr>
        </w:div>
        <w:div w:id="1107774595">
          <w:marLeft w:val="0"/>
          <w:marRight w:val="0"/>
          <w:marTop w:val="0"/>
          <w:marBottom w:val="0"/>
          <w:divBdr>
            <w:top w:val="none" w:sz="0" w:space="0" w:color="auto"/>
            <w:left w:val="none" w:sz="0" w:space="0" w:color="auto"/>
            <w:bottom w:val="none" w:sz="0" w:space="0" w:color="auto"/>
            <w:right w:val="none" w:sz="0" w:space="0" w:color="auto"/>
          </w:divBdr>
        </w:div>
        <w:div w:id="1708945258">
          <w:marLeft w:val="0"/>
          <w:marRight w:val="0"/>
          <w:marTop w:val="0"/>
          <w:marBottom w:val="0"/>
          <w:divBdr>
            <w:top w:val="none" w:sz="0" w:space="0" w:color="auto"/>
            <w:left w:val="none" w:sz="0" w:space="0" w:color="auto"/>
            <w:bottom w:val="none" w:sz="0" w:space="0" w:color="auto"/>
            <w:right w:val="none" w:sz="0" w:space="0" w:color="auto"/>
          </w:divBdr>
        </w:div>
        <w:div w:id="1763525214">
          <w:marLeft w:val="0"/>
          <w:marRight w:val="0"/>
          <w:marTop w:val="0"/>
          <w:marBottom w:val="0"/>
          <w:divBdr>
            <w:top w:val="none" w:sz="0" w:space="0" w:color="auto"/>
            <w:left w:val="none" w:sz="0" w:space="0" w:color="auto"/>
            <w:bottom w:val="none" w:sz="0" w:space="0" w:color="auto"/>
            <w:right w:val="none" w:sz="0" w:space="0" w:color="auto"/>
          </w:divBdr>
        </w:div>
        <w:div w:id="484592623">
          <w:marLeft w:val="0"/>
          <w:marRight w:val="0"/>
          <w:marTop w:val="0"/>
          <w:marBottom w:val="0"/>
          <w:divBdr>
            <w:top w:val="none" w:sz="0" w:space="0" w:color="auto"/>
            <w:left w:val="none" w:sz="0" w:space="0" w:color="auto"/>
            <w:bottom w:val="none" w:sz="0" w:space="0" w:color="auto"/>
            <w:right w:val="none" w:sz="0" w:space="0" w:color="auto"/>
          </w:divBdr>
        </w:div>
        <w:div w:id="890387837">
          <w:marLeft w:val="0"/>
          <w:marRight w:val="0"/>
          <w:marTop w:val="0"/>
          <w:marBottom w:val="0"/>
          <w:divBdr>
            <w:top w:val="none" w:sz="0" w:space="0" w:color="auto"/>
            <w:left w:val="none" w:sz="0" w:space="0" w:color="auto"/>
            <w:bottom w:val="none" w:sz="0" w:space="0" w:color="auto"/>
            <w:right w:val="none" w:sz="0" w:space="0" w:color="auto"/>
          </w:divBdr>
        </w:div>
        <w:div w:id="10305353">
          <w:marLeft w:val="0"/>
          <w:marRight w:val="0"/>
          <w:marTop w:val="0"/>
          <w:marBottom w:val="0"/>
          <w:divBdr>
            <w:top w:val="none" w:sz="0" w:space="0" w:color="auto"/>
            <w:left w:val="none" w:sz="0" w:space="0" w:color="auto"/>
            <w:bottom w:val="none" w:sz="0" w:space="0" w:color="auto"/>
            <w:right w:val="none" w:sz="0" w:space="0" w:color="auto"/>
          </w:divBdr>
        </w:div>
        <w:div w:id="2019428056">
          <w:marLeft w:val="0"/>
          <w:marRight w:val="0"/>
          <w:marTop w:val="0"/>
          <w:marBottom w:val="0"/>
          <w:divBdr>
            <w:top w:val="none" w:sz="0" w:space="0" w:color="auto"/>
            <w:left w:val="none" w:sz="0" w:space="0" w:color="auto"/>
            <w:bottom w:val="none" w:sz="0" w:space="0" w:color="auto"/>
            <w:right w:val="none" w:sz="0" w:space="0" w:color="auto"/>
          </w:divBdr>
        </w:div>
        <w:div w:id="639188968">
          <w:marLeft w:val="0"/>
          <w:marRight w:val="0"/>
          <w:marTop w:val="0"/>
          <w:marBottom w:val="0"/>
          <w:divBdr>
            <w:top w:val="none" w:sz="0" w:space="0" w:color="auto"/>
            <w:left w:val="none" w:sz="0" w:space="0" w:color="auto"/>
            <w:bottom w:val="none" w:sz="0" w:space="0" w:color="auto"/>
            <w:right w:val="none" w:sz="0" w:space="0" w:color="auto"/>
          </w:divBdr>
        </w:div>
        <w:div w:id="987710666">
          <w:marLeft w:val="0"/>
          <w:marRight w:val="0"/>
          <w:marTop w:val="0"/>
          <w:marBottom w:val="0"/>
          <w:divBdr>
            <w:top w:val="none" w:sz="0" w:space="0" w:color="auto"/>
            <w:left w:val="none" w:sz="0" w:space="0" w:color="auto"/>
            <w:bottom w:val="none" w:sz="0" w:space="0" w:color="auto"/>
            <w:right w:val="none" w:sz="0" w:space="0" w:color="auto"/>
          </w:divBdr>
        </w:div>
        <w:div w:id="343897134">
          <w:marLeft w:val="0"/>
          <w:marRight w:val="0"/>
          <w:marTop w:val="0"/>
          <w:marBottom w:val="0"/>
          <w:divBdr>
            <w:top w:val="none" w:sz="0" w:space="0" w:color="auto"/>
            <w:left w:val="none" w:sz="0" w:space="0" w:color="auto"/>
            <w:bottom w:val="none" w:sz="0" w:space="0" w:color="auto"/>
            <w:right w:val="none" w:sz="0" w:space="0" w:color="auto"/>
          </w:divBdr>
        </w:div>
        <w:div w:id="543568701">
          <w:marLeft w:val="0"/>
          <w:marRight w:val="0"/>
          <w:marTop w:val="0"/>
          <w:marBottom w:val="0"/>
          <w:divBdr>
            <w:top w:val="none" w:sz="0" w:space="0" w:color="auto"/>
            <w:left w:val="none" w:sz="0" w:space="0" w:color="auto"/>
            <w:bottom w:val="none" w:sz="0" w:space="0" w:color="auto"/>
            <w:right w:val="none" w:sz="0" w:space="0" w:color="auto"/>
          </w:divBdr>
        </w:div>
        <w:div w:id="1065028521">
          <w:marLeft w:val="0"/>
          <w:marRight w:val="0"/>
          <w:marTop w:val="0"/>
          <w:marBottom w:val="0"/>
          <w:divBdr>
            <w:top w:val="none" w:sz="0" w:space="0" w:color="auto"/>
            <w:left w:val="none" w:sz="0" w:space="0" w:color="auto"/>
            <w:bottom w:val="none" w:sz="0" w:space="0" w:color="auto"/>
            <w:right w:val="none" w:sz="0" w:space="0" w:color="auto"/>
          </w:divBdr>
        </w:div>
        <w:div w:id="1505630906">
          <w:marLeft w:val="0"/>
          <w:marRight w:val="0"/>
          <w:marTop w:val="0"/>
          <w:marBottom w:val="0"/>
          <w:divBdr>
            <w:top w:val="none" w:sz="0" w:space="0" w:color="auto"/>
            <w:left w:val="none" w:sz="0" w:space="0" w:color="auto"/>
            <w:bottom w:val="none" w:sz="0" w:space="0" w:color="auto"/>
            <w:right w:val="none" w:sz="0" w:space="0" w:color="auto"/>
          </w:divBdr>
        </w:div>
        <w:div w:id="1451893551">
          <w:marLeft w:val="0"/>
          <w:marRight w:val="0"/>
          <w:marTop w:val="0"/>
          <w:marBottom w:val="0"/>
          <w:divBdr>
            <w:top w:val="none" w:sz="0" w:space="0" w:color="auto"/>
            <w:left w:val="none" w:sz="0" w:space="0" w:color="auto"/>
            <w:bottom w:val="none" w:sz="0" w:space="0" w:color="auto"/>
            <w:right w:val="none" w:sz="0" w:space="0" w:color="auto"/>
          </w:divBdr>
        </w:div>
        <w:div w:id="1098792237">
          <w:marLeft w:val="0"/>
          <w:marRight w:val="0"/>
          <w:marTop w:val="0"/>
          <w:marBottom w:val="0"/>
          <w:divBdr>
            <w:top w:val="none" w:sz="0" w:space="0" w:color="auto"/>
            <w:left w:val="none" w:sz="0" w:space="0" w:color="auto"/>
            <w:bottom w:val="none" w:sz="0" w:space="0" w:color="auto"/>
            <w:right w:val="none" w:sz="0" w:space="0" w:color="auto"/>
          </w:divBdr>
        </w:div>
        <w:div w:id="257908370">
          <w:marLeft w:val="0"/>
          <w:marRight w:val="0"/>
          <w:marTop w:val="0"/>
          <w:marBottom w:val="0"/>
          <w:divBdr>
            <w:top w:val="none" w:sz="0" w:space="0" w:color="auto"/>
            <w:left w:val="none" w:sz="0" w:space="0" w:color="auto"/>
            <w:bottom w:val="none" w:sz="0" w:space="0" w:color="auto"/>
            <w:right w:val="none" w:sz="0" w:space="0" w:color="auto"/>
          </w:divBdr>
        </w:div>
        <w:div w:id="608776563">
          <w:marLeft w:val="0"/>
          <w:marRight w:val="0"/>
          <w:marTop w:val="0"/>
          <w:marBottom w:val="0"/>
          <w:divBdr>
            <w:top w:val="none" w:sz="0" w:space="0" w:color="auto"/>
            <w:left w:val="none" w:sz="0" w:space="0" w:color="auto"/>
            <w:bottom w:val="none" w:sz="0" w:space="0" w:color="auto"/>
            <w:right w:val="none" w:sz="0" w:space="0" w:color="auto"/>
          </w:divBdr>
        </w:div>
        <w:div w:id="552236740">
          <w:marLeft w:val="0"/>
          <w:marRight w:val="0"/>
          <w:marTop w:val="0"/>
          <w:marBottom w:val="0"/>
          <w:divBdr>
            <w:top w:val="none" w:sz="0" w:space="0" w:color="auto"/>
            <w:left w:val="none" w:sz="0" w:space="0" w:color="auto"/>
            <w:bottom w:val="none" w:sz="0" w:space="0" w:color="auto"/>
            <w:right w:val="none" w:sz="0" w:space="0" w:color="auto"/>
          </w:divBdr>
        </w:div>
        <w:div w:id="1582907127">
          <w:marLeft w:val="0"/>
          <w:marRight w:val="0"/>
          <w:marTop w:val="0"/>
          <w:marBottom w:val="0"/>
          <w:divBdr>
            <w:top w:val="none" w:sz="0" w:space="0" w:color="auto"/>
            <w:left w:val="none" w:sz="0" w:space="0" w:color="auto"/>
            <w:bottom w:val="none" w:sz="0" w:space="0" w:color="auto"/>
            <w:right w:val="none" w:sz="0" w:space="0" w:color="auto"/>
          </w:divBdr>
        </w:div>
        <w:div w:id="555896269">
          <w:marLeft w:val="0"/>
          <w:marRight w:val="0"/>
          <w:marTop w:val="0"/>
          <w:marBottom w:val="0"/>
          <w:divBdr>
            <w:top w:val="none" w:sz="0" w:space="0" w:color="auto"/>
            <w:left w:val="none" w:sz="0" w:space="0" w:color="auto"/>
            <w:bottom w:val="none" w:sz="0" w:space="0" w:color="auto"/>
            <w:right w:val="none" w:sz="0" w:space="0" w:color="auto"/>
          </w:divBdr>
        </w:div>
        <w:div w:id="1602255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ta.gov.uk/sites/default/files/Code%20E%20Research%20Standards%20and%20Guidanc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earchsupport.admin.ox.ac.uk/governance/human-tissue/resour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support.admin.ox.ac.uk/governance/human-tissue/resour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searchsupport.admin.ox.ac.uk/governance/human-tissue/resourc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41298-CD6F-49A9-ACEA-01381684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Watson</dc:creator>
  <cp:keywords/>
  <dc:description/>
  <cp:lastModifiedBy>Rachel Lloyd</cp:lastModifiedBy>
  <cp:revision>30</cp:revision>
  <dcterms:created xsi:type="dcterms:W3CDTF">2018-02-09T10:47:00Z</dcterms:created>
  <dcterms:modified xsi:type="dcterms:W3CDTF">2018-06-21T15:30:00Z</dcterms:modified>
</cp:coreProperties>
</file>